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F6C56" w14:textId="3E689526" w:rsidR="00742D58" w:rsidRDefault="00742D58" w:rsidP="00742D58">
      <w:pPr>
        <w:spacing w:after="0" w:line="240" w:lineRule="auto"/>
        <w:jc w:val="center"/>
        <w:rPr>
          <w:rFonts w:ascii="Times New Roman" w:hAnsi="Times New Roman" w:cs="Times New Roman"/>
          <w:b/>
          <w:bCs/>
          <w:sz w:val="24"/>
          <w:szCs w:val="24"/>
        </w:rPr>
      </w:pPr>
      <w:r w:rsidRPr="00742D58">
        <w:rPr>
          <w:rFonts w:ascii="Times New Roman" w:hAnsi="Times New Roman" w:cs="Times New Roman"/>
          <w:b/>
          <w:bCs/>
          <w:sz w:val="24"/>
          <w:szCs w:val="24"/>
        </w:rPr>
        <w:t>Upute za izradu „Procjen</w:t>
      </w:r>
      <w:r w:rsidR="002B1EF0">
        <w:rPr>
          <w:rFonts w:ascii="Times New Roman" w:hAnsi="Times New Roman" w:cs="Times New Roman"/>
          <w:b/>
          <w:bCs/>
          <w:sz w:val="24"/>
          <w:szCs w:val="24"/>
        </w:rPr>
        <w:t>a</w:t>
      </w:r>
      <w:r w:rsidRPr="00742D58">
        <w:rPr>
          <w:rFonts w:ascii="Times New Roman" w:hAnsi="Times New Roman" w:cs="Times New Roman"/>
          <w:b/>
          <w:bCs/>
          <w:sz w:val="24"/>
          <w:szCs w:val="24"/>
        </w:rPr>
        <w:t xml:space="preserve"> otpornosti na klimatske promjene“</w:t>
      </w:r>
    </w:p>
    <w:p w14:paraId="047F8D6A" w14:textId="77777777" w:rsidR="00742D58" w:rsidRDefault="00742D58" w:rsidP="00C35CD6">
      <w:pPr>
        <w:spacing w:after="0" w:line="240" w:lineRule="auto"/>
        <w:jc w:val="both"/>
        <w:rPr>
          <w:rFonts w:ascii="Times New Roman" w:hAnsi="Times New Roman" w:cs="Times New Roman"/>
          <w:b/>
          <w:bCs/>
          <w:sz w:val="24"/>
          <w:szCs w:val="24"/>
        </w:rPr>
      </w:pPr>
    </w:p>
    <w:p w14:paraId="16004D1B" w14:textId="77777777" w:rsidR="00742D58" w:rsidRDefault="00742D58" w:rsidP="00C35CD6">
      <w:pPr>
        <w:spacing w:after="0" w:line="240" w:lineRule="auto"/>
        <w:jc w:val="both"/>
        <w:rPr>
          <w:rFonts w:ascii="Times New Roman" w:hAnsi="Times New Roman" w:cs="Times New Roman"/>
          <w:b/>
          <w:bCs/>
          <w:sz w:val="24"/>
          <w:szCs w:val="24"/>
        </w:rPr>
      </w:pPr>
    </w:p>
    <w:p w14:paraId="1F4E6D66" w14:textId="2C60BB5B" w:rsidR="00C35CD6" w:rsidRPr="000509FB" w:rsidRDefault="00C35CD6" w:rsidP="00C35CD6">
      <w:pPr>
        <w:spacing w:after="0" w:line="240" w:lineRule="auto"/>
        <w:jc w:val="both"/>
        <w:rPr>
          <w:rFonts w:ascii="Times New Roman" w:hAnsi="Times New Roman" w:cs="Times New Roman"/>
          <w:sz w:val="24"/>
          <w:szCs w:val="24"/>
        </w:rPr>
      </w:pPr>
      <w:r w:rsidRPr="000509FB">
        <w:rPr>
          <w:rFonts w:ascii="Times New Roman" w:hAnsi="Times New Roman" w:cs="Times New Roman"/>
          <w:sz w:val="24"/>
          <w:szCs w:val="24"/>
        </w:rPr>
        <w:t>Niže navedeni postupak procjene otpornosti baziran je na Tehničkim smjernicama za pripremu infrastrukture za klimatske promjene u razdoblju 2021.–2027.</w:t>
      </w:r>
      <w:r w:rsidRPr="000509FB">
        <w:rPr>
          <w:rStyle w:val="FootnoteReference"/>
          <w:rFonts w:ascii="Times New Roman" w:hAnsi="Times New Roman" w:cs="Times New Roman"/>
          <w:sz w:val="24"/>
          <w:szCs w:val="24"/>
        </w:rPr>
        <w:footnoteReference w:id="1"/>
      </w:r>
      <w:r w:rsidRPr="000509FB">
        <w:rPr>
          <w:rFonts w:ascii="Times New Roman" w:hAnsi="Times New Roman" w:cs="Times New Roman"/>
          <w:sz w:val="24"/>
          <w:szCs w:val="24"/>
        </w:rPr>
        <w:t xml:space="preserve"> Sukladno uputama i informacijama u nastavku potrebno je pripremiti procjenu otpornosti koja mora sadržavati sljedeće informacije (dijelove)</w:t>
      </w:r>
    </w:p>
    <w:p w14:paraId="1EC79E9A" w14:textId="77777777" w:rsidR="00C35CD6" w:rsidRPr="000509FB" w:rsidRDefault="00C35CD6" w:rsidP="00C35CD6">
      <w:pPr>
        <w:spacing w:after="0" w:line="240" w:lineRule="auto"/>
        <w:ind w:left="357"/>
        <w:jc w:val="both"/>
        <w:rPr>
          <w:rFonts w:ascii="Times New Roman" w:hAnsi="Times New Roman" w:cs="Times New Roman"/>
          <w:sz w:val="24"/>
          <w:szCs w:val="24"/>
        </w:rPr>
      </w:pPr>
    </w:p>
    <w:p w14:paraId="6B1C2FEE" w14:textId="77777777" w:rsidR="00C35CD6" w:rsidRPr="000509FB" w:rsidRDefault="00C35CD6" w:rsidP="00C35CD6">
      <w:pPr>
        <w:pStyle w:val="ListParagraph"/>
        <w:numPr>
          <w:ilvl w:val="0"/>
          <w:numId w:val="1"/>
        </w:numPr>
        <w:spacing w:after="160" w:line="259" w:lineRule="auto"/>
        <w:ind w:left="284" w:firstLine="0"/>
        <w:rPr>
          <w:rFonts w:ascii="Times New Roman" w:hAnsi="Times New Roman" w:cs="Times New Roman"/>
          <w:sz w:val="24"/>
          <w:szCs w:val="24"/>
        </w:rPr>
      </w:pPr>
      <w:r w:rsidRPr="000509FB">
        <w:rPr>
          <w:rFonts w:ascii="Times New Roman" w:hAnsi="Times New Roman" w:cs="Times New Roman"/>
          <w:sz w:val="24"/>
          <w:szCs w:val="24"/>
        </w:rPr>
        <w:t>Uvod</w:t>
      </w:r>
    </w:p>
    <w:p w14:paraId="3367A593" w14:textId="77777777" w:rsidR="00C35CD6" w:rsidRPr="000509FB" w:rsidRDefault="00C35CD6" w:rsidP="00C35CD6">
      <w:pPr>
        <w:jc w:val="both"/>
        <w:rPr>
          <w:rFonts w:ascii="Times New Roman" w:hAnsi="Times New Roman" w:cs="Times New Roman"/>
          <w:sz w:val="24"/>
          <w:szCs w:val="24"/>
        </w:rPr>
      </w:pPr>
      <w:r w:rsidRPr="000509FB">
        <w:rPr>
          <w:rFonts w:ascii="Times New Roman" w:hAnsi="Times New Roman" w:cs="Times New Roman"/>
          <w:sz w:val="24"/>
          <w:szCs w:val="24"/>
        </w:rPr>
        <w:t xml:space="preserve">Kratko opišite infrastrukturni projekt, lokaciju projekta te kako su uzeti u obzir elementi vezani uz klimatske promjene. </w:t>
      </w:r>
    </w:p>
    <w:p w14:paraId="2A47CE0C" w14:textId="77777777" w:rsidR="00C35CD6" w:rsidRPr="000509FB" w:rsidRDefault="00C35CD6" w:rsidP="00C35CD6">
      <w:pPr>
        <w:pStyle w:val="ListParagraph"/>
        <w:numPr>
          <w:ilvl w:val="0"/>
          <w:numId w:val="1"/>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Postupak ocjene otpornosti na klimatske promjene (</w:t>
      </w:r>
      <w:r w:rsidRPr="000509FB">
        <w:rPr>
          <w:rFonts w:ascii="Times New Roman" w:hAnsi="Times New Roman" w:cs="Times New Roman"/>
          <w:sz w:val="24"/>
          <w:szCs w:val="24"/>
          <w:lang w:val="en-GB"/>
        </w:rPr>
        <w:t>climate proofing)</w:t>
      </w:r>
    </w:p>
    <w:p w14:paraId="1FB86D71" w14:textId="77777777" w:rsidR="00C35CD6" w:rsidRPr="000509FB" w:rsidRDefault="00C35CD6" w:rsidP="00C35CD6">
      <w:pPr>
        <w:pStyle w:val="ListParagraph"/>
        <w:jc w:val="both"/>
        <w:rPr>
          <w:rFonts w:ascii="Times New Roman" w:hAnsi="Times New Roman" w:cs="Times New Roman"/>
          <w:sz w:val="24"/>
          <w:szCs w:val="24"/>
        </w:rPr>
      </w:pPr>
    </w:p>
    <w:p w14:paraId="014B3BAE" w14:textId="77777777" w:rsidR="00C35CD6" w:rsidRPr="000509FB" w:rsidRDefault="00C35CD6" w:rsidP="00C35CD6">
      <w:pPr>
        <w:pStyle w:val="ListParagraph"/>
        <w:numPr>
          <w:ilvl w:val="1"/>
          <w:numId w:val="1"/>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 xml:space="preserve"> Ublažavanje klimatskih promjena (</w:t>
      </w:r>
      <w:r w:rsidRPr="000509FB">
        <w:rPr>
          <w:rFonts w:ascii="Times New Roman" w:hAnsi="Times New Roman" w:cs="Times New Roman"/>
          <w:sz w:val="24"/>
          <w:szCs w:val="24"/>
          <w:lang w:val="en-GB"/>
        </w:rPr>
        <w:t>climate neutrality</w:t>
      </w:r>
      <w:r w:rsidRPr="000509FB">
        <w:rPr>
          <w:rFonts w:ascii="Times New Roman" w:hAnsi="Times New Roman" w:cs="Times New Roman"/>
          <w:sz w:val="24"/>
          <w:szCs w:val="24"/>
        </w:rPr>
        <w:t xml:space="preserve">) </w:t>
      </w:r>
    </w:p>
    <w:p w14:paraId="3E3D3B75" w14:textId="77777777" w:rsidR="00C35CD6" w:rsidRPr="000509FB" w:rsidRDefault="00C35CD6" w:rsidP="00C35CD6">
      <w:pPr>
        <w:pStyle w:val="ListParagraph"/>
        <w:numPr>
          <w:ilvl w:val="0"/>
          <w:numId w:val="2"/>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 xml:space="preserve">Sukladno tablici 2 tehničkih smjernica EK potrebno je utvrditi (ocijeniti) radi li se o projektu s visokim ugljičnim otiskom tj. s razinom emisija stakleničkih plinova koja bi zahtijevala provedbu detaljne analize ublažavanja klimatskih promjena. Projekti čije se financiranje očekuje u sklopu ovog Poziva u pravilu neće zahtijevati detaljnu analizu ublažavanja klimatskih promjena; radi se o pojedinačnim zgradama za koje i prema tablici 2 isto nije potrebno (kategorija: razvoj nekretnina). </w:t>
      </w:r>
    </w:p>
    <w:p w14:paraId="4E1EC8A7" w14:textId="77777777" w:rsidR="00C35CD6" w:rsidRPr="000509FB" w:rsidRDefault="00C35CD6" w:rsidP="00C35CD6">
      <w:pPr>
        <w:pStyle w:val="ListParagraph"/>
        <w:numPr>
          <w:ilvl w:val="0"/>
          <w:numId w:val="2"/>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 xml:space="preserve">Iz informacija dostupnih u putem ISGE-a, prosječna emisija zgrada u kategoriji „muzeji i knjižnice“ iznosi oko 25-30 t/CO2/g (na uzroku od cca 420 zgrada takve namjene koje unose podatke u ISGE). </w:t>
      </w:r>
    </w:p>
    <w:p w14:paraId="0E04891C" w14:textId="77777777" w:rsidR="00C35CD6" w:rsidRPr="000509FB" w:rsidRDefault="00C35CD6" w:rsidP="00C35CD6">
      <w:pPr>
        <w:pStyle w:val="ListParagraph"/>
        <w:numPr>
          <w:ilvl w:val="0"/>
          <w:numId w:val="2"/>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MRRFEU je provjerilo podatke s nekoliko najvećih projekata energetske obnove javnih zgrada financiranih u sklopu OP Konkurentnost i kohezija 2014.-2020. i za te projekte prosječna godišnja emisija iznosi oko 1.000 t/CO2 (radi se o javnim zgradama kao što su škole i bolnice koje u projektu zbog veličine, emitiraju veću razinu stakleničkih plinova od zgrada koje su predmet ovog Poziva);</w:t>
      </w:r>
    </w:p>
    <w:p w14:paraId="5F0CB3DD" w14:textId="77777777" w:rsidR="00C35CD6" w:rsidRPr="000509FB" w:rsidRDefault="00C35CD6" w:rsidP="00C35CD6">
      <w:pPr>
        <w:pStyle w:val="ListParagraph"/>
        <w:numPr>
          <w:ilvl w:val="0"/>
          <w:numId w:val="2"/>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 xml:space="preserve">Stoga je zaključeno da za projekte koji su predmet ovog poziva nije potrebno provoditi fazu postupka ublažavanja 2 tj. detaljnu analizu ublažavanja klimatskih promjena; </w:t>
      </w:r>
    </w:p>
    <w:p w14:paraId="055D0413" w14:textId="77777777" w:rsidR="00C35CD6" w:rsidRPr="000509FB" w:rsidRDefault="00C35CD6" w:rsidP="00C35CD6">
      <w:pPr>
        <w:pStyle w:val="ListParagraph"/>
        <w:numPr>
          <w:ilvl w:val="0"/>
          <w:numId w:val="2"/>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Kao dodatni referentni podatak, korisnik projekta trebao bi u projektnom prijedlogu naznačiti procijenjenu razinu emisija stakleničkih plinova (u t/CO2/g) za zgradu koja je predmet projekta.</w:t>
      </w:r>
    </w:p>
    <w:p w14:paraId="5C71F7C3" w14:textId="77777777" w:rsidR="00C35CD6" w:rsidRPr="000509FB" w:rsidRDefault="00C35CD6" w:rsidP="00C35CD6">
      <w:pPr>
        <w:pStyle w:val="ListParagraph"/>
        <w:ind w:left="1440"/>
        <w:jc w:val="both"/>
        <w:rPr>
          <w:rFonts w:ascii="Times New Roman" w:hAnsi="Times New Roman" w:cs="Times New Roman"/>
          <w:sz w:val="24"/>
          <w:szCs w:val="24"/>
        </w:rPr>
      </w:pPr>
    </w:p>
    <w:p w14:paraId="1B3AC9C9" w14:textId="77777777" w:rsidR="00C35CD6" w:rsidRPr="000509FB" w:rsidRDefault="00C35CD6" w:rsidP="00C35CD6">
      <w:pPr>
        <w:pStyle w:val="ListParagraph"/>
        <w:numPr>
          <w:ilvl w:val="1"/>
          <w:numId w:val="1"/>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 xml:space="preserve"> Prilagodba klimatskim promjenama (</w:t>
      </w:r>
      <w:r w:rsidRPr="000509FB">
        <w:rPr>
          <w:rFonts w:ascii="Times New Roman" w:hAnsi="Times New Roman" w:cs="Times New Roman"/>
          <w:sz w:val="24"/>
          <w:szCs w:val="24"/>
          <w:lang w:val="en-GB"/>
        </w:rPr>
        <w:t>climate resilience</w:t>
      </w:r>
      <w:r w:rsidRPr="000509FB">
        <w:rPr>
          <w:rFonts w:ascii="Times New Roman" w:hAnsi="Times New Roman" w:cs="Times New Roman"/>
          <w:sz w:val="24"/>
          <w:szCs w:val="24"/>
        </w:rPr>
        <w:t>)</w:t>
      </w:r>
    </w:p>
    <w:p w14:paraId="395BE49C" w14:textId="77777777" w:rsidR="00C35CD6" w:rsidRPr="000509FB" w:rsidRDefault="00C35CD6" w:rsidP="00C35CD6">
      <w:pPr>
        <w:pStyle w:val="ListParagraph"/>
        <w:numPr>
          <w:ilvl w:val="0"/>
          <w:numId w:val="3"/>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Potrebno je identificirati relevantne klimatske nepogode (</w:t>
      </w:r>
      <w:r w:rsidRPr="000509FB">
        <w:rPr>
          <w:rFonts w:ascii="Times New Roman" w:hAnsi="Times New Roman" w:cs="Times New Roman"/>
          <w:sz w:val="24"/>
          <w:szCs w:val="24"/>
          <w:lang w:val="en-GB"/>
        </w:rPr>
        <w:t>Hazards</w:t>
      </w:r>
      <w:r w:rsidRPr="000509FB">
        <w:rPr>
          <w:rFonts w:ascii="Times New Roman" w:hAnsi="Times New Roman" w:cs="Times New Roman"/>
          <w:sz w:val="24"/>
          <w:szCs w:val="24"/>
        </w:rPr>
        <w:t xml:space="preserve">) s liste iz Priloga I delegirane uredbe 2021/2139; prijaviteljima se savjetuje da ne uzimaju obzir (analizu) sve nepogode, već one koje smatraju najrelevantnijima za specifičnu infrastrukturu koja je predmet projekta te lokaciju projekta; </w:t>
      </w:r>
    </w:p>
    <w:p w14:paraId="155DFE2E" w14:textId="77777777" w:rsidR="00C35CD6" w:rsidRPr="000509FB" w:rsidRDefault="00C35CD6" w:rsidP="00C35CD6">
      <w:pPr>
        <w:pStyle w:val="ListParagraph"/>
        <w:numPr>
          <w:ilvl w:val="0"/>
          <w:numId w:val="3"/>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lastRenderedPageBreak/>
        <w:t xml:space="preserve">Potrebno je utvrditi relevantni klimatski scenarij (simulaciju klimatskog modela) prema RPC 4.5 dostupnom na </w:t>
      </w:r>
      <w:hyperlink r:id="rId7" w:history="1">
        <w:r w:rsidRPr="000509FB">
          <w:rPr>
            <w:rStyle w:val="Hyperlink"/>
            <w:rFonts w:ascii="Times New Roman" w:hAnsi="Times New Roman" w:cs="Times New Roman"/>
            <w:sz w:val="24"/>
            <w:szCs w:val="24"/>
          </w:rPr>
          <w:t>https://meteo.hr/klima.php?section=klima_modeli&amp;param=klima_simulacije&amp;Grad=Zagreb&amp;Scenarij=RCP2&amp;Val=pr</w:t>
        </w:r>
      </w:hyperlink>
      <w:r w:rsidRPr="000509FB">
        <w:rPr>
          <w:rStyle w:val="Hyperlink"/>
          <w:rFonts w:ascii="Times New Roman" w:hAnsi="Times New Roman" w:cs="Times New Roman"/>
          <w:sz w:val="24"/>
          <w:szCs w:val="24"/>
        </w:rPr>
        <w:t>.</w:t>
      </w:r>
      <w:r w:rsidRPr="000509FB">
        <w:rPr>
          <w:rFonts w:ascii="Times New Roman" w:hAnsi="Times New Roman" w:cs="Times New Roman"/>
          <w:sz w:val="24"/>
          <w:szCs w:val="24"/>
        </w:rPr>
        <w:t xml:space="preserve"> U slučaju kada RPC podaci nisu dostupni za točnu lokaciju projekta, za potrebu provedbe analize potrebno je uzeti podatke za najbližu lokaciju (grad).</w:t>
      </w:r>
    </w:p>
    <w:p w14:paraId="51ECE574" w14:textId="77777777" w:rsidR="00C35CD6" w:rsidRPr="000509FB" w:rsidRDefault="00C35CD6" w:rsidP="00C35CD6">
      <w:pPr>
        <w:pStyle w:val="ListParagraph"/>
        <w:numPr>
          <w:ilvl w:val="0"/>
          <w:numId w:val="3"/>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Potrebno je izraditi analizu ranjivosti (vulnerability) na osnovu predviđenih klimatskih promjena (prema RPC 4.5):</w:t>
      </w:r>
    </w:p>
    <w:p w14:paraId="082B7C92" w14:textId="77777777" w:rsidR="00C35CD6" w:rsidRPr="000509FB" w:rsidRDefault="00C35CD6" w:rsidP="00C35CD6">
      <w:pPr>
        <w:pStyle w:val="ListParagraph"/>
        <w:numPr>
          <w:ilvl w:val="1"/>
          <w:numId w:val="3"/>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Analizu osjetljivosti (</w:t>
      </w:r>
      <w:r w:rsidRPr="000509FB">
        <w:rPr>
          <w:rFonts w:ascii="Times New Roman" w:hAnsi="Times New Roman" w:cs="Times New Roman"/>
          <w:sz w:val="24"/>
          <w:szCs w:val="24"/>
          <w:lang w:val="en-GB"/>
        </w:rPr>
        <w:t>sensitivity</w:t>
      </w:r>
      <w:r w:rsidRPr="000509FB">
        <w:rPr>
          <w:rFonts w:ascii="Times New Roman" w:hAnsi="Times New Roman" w:cs="Times New Roman"/>
          <w:sz w:val="24"/>
          <w:szCs w:val="24"/>
        </w:rPr>
        <w:t>) i izloženosti (</w:t>
      </w:r>
      <w:r w:rsidRPr="000509FB">
        <w:rPr>
          <w:rFonts w:ascii="Times New Roman" w:hAnsi="Times New Roman" w:cs="Times New Roman"/>
          <w:sz w:val="24"/>
          <w:szCs w:val="24"/>
          <w:lang w:val="en-GB"/>
        </w:rPr>
        <w:t>exposure</w:t>
      </w:r>
      <w:r w:rsidRPr="000509FB">
        <w:rPr>
          <w:rFonts w:ascii="Times New Roman" w:hAnsi="Times New Roman" w:cs="Times New Roman"/>
          <w:sz w:val="24"/>
          <w:szCs w:val="24"/>
        </w:rPr>
        <w:t>) na klimatske nepogode (ocjenu relevantnih klimatskih nepogoda na samu infrastrukturu koja je predmet projekta u odnosu na lokaciju projekta) moguće je provesti objedinjeno, s obzirom da se to dvoje često promatra (analizira) zajednički.</w:t>
      </w:r>
    </w:p>
    <w:p w14:paraId="07568FF6" w14:textId="77777777" w:rsidR="00C35CD6" w:rsidRPr="000509FB" w:rsidRDefault="00C35CD6" w:rsidP="00C35CD6">
      <w:pPr>
        <w:pStyle w:val="ListParagraph"/>
        <w:numPr>
          <w:ilvl w:val="1"/>
          <w:numId w:val="3"/>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Analiza ranjivosti – procjena relevantnih klimatskih nepogoda za predmetni projekt na konkretnoj lokaciji (prema trenutnim i budućim klimatskim uvjetima tj. modelima- uzimajući u obzir RPC 4.5). Analiza ranjivosti je kombinacija analize osjetljivosti projekta na klimatske nepogode (</w:t>
      </w:r>
      <w:r w:rsidRPr="000509FB">
        <w:rPr>
          <w:rFonts w:ascii="Times New Roman" w:hAnsi="Times New Roman" w:cs="Times New Roman"/>
          <w:sz w:val="24"/>
          <w:szCs w:val="24"/>
          <w:lang w:val="en-GB"/>
        </w:rPr>
        <w:t>sensitivity</w:t>
      </w:r>
      <w:r w:rsidRPr="000509FB">
        <w:rPr>
          <w:rFonts w:ascii="Times New Roman" w:hAnsi="Times New Roman" w:cs="Times New Roman"/>
          <w:sz w:val="24"/>
          <w:szCs w:val="24"/>
        </w:rPr>
        <w:t>) i vjerojatnosti da se te nepogode dese ne lokaciji projekta (</w:t>
      </w:r>
      <w:r w:rsidRPr="000509FB">
        <w:rPr>
          <w:rFonts w:ascii="Times New Roman" w:hAnsi="Times New Roman" w:cs="Times New Roman"/>
          <w:sz w:val="24"/>
          <w:szCs w:val="24"/>
          <w:lang w:val="en-GB"/>
        </w:rPr>
        <w:t>exposure</w:t>
      </w:r>
      <w:r w:rsidRPr="000509FB">
        <w:rPr>
          <w:rFonts w:ascii="Times New Roman" w:hAnsi="Times New Roman" w:cs="Times New Roman"/>
          <w:sz w:val="24"/>
          <w:szCs w:val="24"/>
        </w:rPr>
        <w:t>). Taj međuodnos određuje klimatsku ranjivost projekta. Analiza osjetljivosti trebala bi rezultirati utvrđenim nivoom ranjivosti za svaki od klimatskih nepogoda podijeljenim u tri kategorije – niski, srednji i visoki. Primjer analize ranjivosti nalazi se u točki 3.3.1. Tehničkih smjernica (slike 9. do 12.)</w:t>
      </w:r>
    </w:p>
    <w:p w14:paraId="1EDD7635" w14:textId="77777777" w:rsidR="00C35CD6" w:rsidRPr="000509FB" w:rsidRDefault="00C35CD6" w:rsidP="00C35CD6">
      <w:pPr>
        <w:pStyle w:val="ListParagraph"/>
        <w:numPr>
          <w:ilvl w:val="1"/>
          <w:numId w:val="3"/>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 xml:space="preserve">S obzirom na tip projekata koji se planiraju provoditi u sklopu ovog poziva, analiza  ranjivosti može se pripremiti putem kvalitativne (opisne) metode </w:t>
      </w:r>
    </w:p>
    <w:p w14:paraId="310C9EAE" w14:textId="77777777" w:rsidR="00C35CD6" w:rsidRPr="000509FB" w:rsidRDefault="00C35CD6" w:rsidP="00C35CD6">
      <w:pPr>
        <w:pStyle w:val="ListParagraph"/>
        <w:numPr>
          <w:ilvl w:val="0"/>
          <w:numId w:val="3"/>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 xml:space="preserve">Potrebno je izraditi detaljnu analiza klimatskih rizika (faza 2 Postupka prilagodbe klimatskim promjenama) tj. procjenu vjerojatnosti i utjecaja ranjivosti s visokim i srednjim nivoom (niski nivo ranjivosti nije obavezno analizirati). Primjer analize rizika nalazi se u točki 3.3.2. Tehničkih smjernica (slika 13, 14 i 15). s obzirom na prirodu projekata koji se planiraju financirati kroz ovaj poziva (projekti relativno male vrijednosti koji se odnose na obnovu jedne zgrade po projekte i to u urbaniziranijim područjima), analiza klimatskih rizika (analiza vjerojatnosti i utjecaja) može se izraditi korištenjem kvalitativne (opisne) analize. </w:t>
      </w:r>
    </w:p>
    <w:p w14:paraId="4C30415E" w14:textId="77777777" w:rsidR="00C35CD6" w:rsidRPr="000509FB" w:rsidRDefault="00C35CD6" w:rsidP="00C35CD6">
      <w:pPr>
        <w:pStyle w:val="ListParagraph"/>
        <w:numPr>
          <w:ilvl w:val="0"/>
          <w:numId w:val="3"/>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 xml:space="preserve">Potrebno je utvrditi mjera prilagodbe za sve klimatske rizike s oznakom/nivoom katastrofalan i velik; za klimatske rizike s oznakom/nivoom srednji prijavitelj je dužan ili predložiti mjere prilagodbe ili objasniti zašto iste nisu relevantne/potrebne. Mjere prilagodbe mogu biti strukturalne (promjene u izgledu ili lokaciji projekta),  ne-strukturalne (soft mjere kao što su promjene u održavanju i upravljanju infrastrukturom), ili upravljanje rizicima (kada se ocijeni da se rizik može prihvatiti i njime upravljati tijekom korištenja infrastrukture)  </w:t>
      </w:r>
    </w:p>
    <w:p w14:paraId="724889EA" w14:textId="77777777" w:rsidR="00C35CD6" w:rsidRPr="000509FB" w:rsidRDefault="00C35CD6" w:rsidP="00C35CD6">
      <w:pPr>
        <w:pStyle w:val="ListParagraph"/>
        <w:numPr>
          <w:ilvl w:val="0"/>
          <w:numId w:val="3"/>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 xml:space="preserve">Potrebno je opisati plan praćenja i narednih (follow-up) mjera prilagodbe koje se predviđene (ukoliko je primjenjivo). </w:t>
      </w:r>
    </w:p>
    <w:p w14:paraId="63DFBCE2" w14:textId="77777777" w:rsidR="00C35CD6" w:rsidRPr="000509FB" w:rsidRDefault="00C35CD6" w:rsidP="00C35CD6">
      <w:pPr>
        <w:pStyle w:val="ListParagraph"/>
        <w:ind w:left="1440"/>
        <w:rPr>
          <w:rFonts w:ascii="Times New Roman" w:hAnsi="Times New Roman" w:cs="Times New Roman"/>
          <w:sz w:val="24"/>
          <w:szCs w:val="24"/>
        </w:rPr>
      </w:pPr>
    </w:p>
    <w:p w14:paraId="195E1314" w14:textId="77777777" w:rsidR="00C35CD6" w:rsidRPr="000509FB" w:rsidRDefault="00C35CD6" w:rsidP="00C35CD6">
      <w:pPr>
        <w:pStyle w:val="ListParagraph"/>
        <w:numPr>
          <w:ilvl w:val="0"/>
          <w:numId w:val="1"/>
        </w:numPr>
        <w:spacing w:after="160" w:line="259" w:lineRule="auto"/>
        <w:rPr>
          <w:rFonts w:ascii="Times New Roman" w:hAnsi="Times New Roman" w:cs="Times New Roman"/>
          <w:sz w:val="24"/>
          <w:szCs w:val="24"/>
        </w:rPr>
      </w:pPr>
      <w:r w:rsidRPr="000509FB">
        <w:rPr>
          <w:rFonts w:ascii="Times New Roman" w:hAnsi="Times New Roman" w:cs="Times New Roman"/>
          <w:sz w:val="24"/>
          <w:szCs w:val="24"/>
        </w:rPr>
        <w:lastRenderedPageBreak/>
        <w:t>Usklađenost sa strategijama i planovima prilagodbe</w:t>
      </w:r>
    </w:p>
    <w:p w14:paraId="490EAC19" w14:textId="77777777" w:rsidR="00C35CD6" w:rsidRPr="000509FB" w:rsidRDefault="00C35CD6" w:rsidP="00C35CD6">
      <w:pPr>
        <w:jc w:val="both"/>
        <w:rPr>
          <w:rStyle w:val="Hyperlink"/>
          <w:rFonts w:ascii="Times New Roman" w:hAnsi="Times New Roman" w:cs="Times New Roman"/>
          <w:sz w:val="24"/>
          <w:szCs w:val="24"/>
        </w:rPr>
      </w:pPr>
      <w:r w:rsidRPr="000509FB">
        <w:rPr>
          <w:rFonts w:ascii="Times New Roman" w:hAnsi="Times New Roman" w:cs="Times New Roman"/>
          <w:sz w:val="24"/>
          <w:szCs w:val="24"/>
        </w:rPr>
        <w:t>Potrebno je opisati način na koji je projekt usklađen s relevantnim EU, nacionalnim, regionalnim, lokalnim strategijama i planovima prilagodbe na klimatske promjene. Minimalno, razina usklađenosti treba biti ocijenjena u odnosu na S</w:t>
      </w:r>
      <w:r w:rsidRPr="000509FB">
        <w:rPr>
          <w:rFonts w:ascii="Times New Roman" w:hAnsi="Times New Roman" w:cs="Times New Roman"/>
          <w:sz w:val="24"/>
          <w:szCs w:val="24"/>
          <w:shd w:val="clear" w:color="auto" w:fill="FFFFFF"/>
        </w:rPr>
        <w:t xml:space="preserve">trategiju prilagodbe klimatskim promjenama u Republici Hrvatskoj </w:t>
      </w:r>
      <w:r w:rsidRPr="000509FB">
        <w:rPr>
          <w:rFonts w:ascii="Times New Roman" w:hAnsi="Times New Roman" w:cs="Times New Roman"/>
          <w:sz w:val="24"/>
          <w:szCs w:val="24"/>
        </w:rPr>
        <w:t xml:space="preserve">i (ukoliko su izrađene) na lokalne i regionalne strategije prilagodbe. </w:t>
      </w:r>
    </w:p>
    <w:p w14:paraId="52ED2002" w14:textId="77777777" w:rsidR="00C35CD6" w:rsidRPr="000509FB" w:rsidRDefault="00C35CD6" w:rsidP="00C35CD6">
      <w:pPr>
        <w:rPr>
          <w:rFonts w:ascii="Times New Roman" w:hAnsi="Times New Roman" w:cs="Times New Roman"/>
          <w:sz w:val="24"/>
          <w:szCs w:val="24"/>
        </w:rPr>
      </w:pPr>
      <w:r w:rsidRPr="000509FB">
        <w:rPr>
          <w:rFonts w:ascii="Times New Roman" w:hAnsi="Times New Roman" w:cs="Times New Roman"/>
          <w:sz w:val="24"/>
          <w:szCs w:val="24"/>
        </w:rPr>
        <w:t>Napomene:</w:t>
      </w:r>
    </w:p>
    <w:p w14:paraId="6DF1E043" w14:textId="77777777" w:rsidR="00C35CD6" w:rsidRPr="000509FB" w:rsidRDefault="00C35CD6" w:rsidP="00C35CD6">
      <w:pPr>
        <w:pStyle w:val="ListParagraph"/>
        <w:numPr>
          <w:ilvl w:val="0"/>
          <w:numId w:val="3"/>
        </w:numPr>
        <w:spacing w:after="160" w:line="259" w:lineRule="auto"/>
        <w:jc w:val="both"/>
        <w:rPr>
          <w:rFonts w:ascii="Times New Roman" w:hAnsi="Times New Roman" w:cs="Times New Roman"/>
          <w:sz w:val="24"/>
          <w:szCs w:val="24"/>
        </w:rPr>
      </w:pPr>
      <w:r w:rsidRPr="000509FB">
        <w:rPr>
          <w:rFonts w:ascii="Times New Roman" w:hAnsi="Times New Roman" w:cs="Times New Roman"/>
          <w:sz w:val="24"/>
          <w:szCs w:val="24"/>
        </w:rPr>
        <w:t>Procjena otpornosti na klimatske promjene (</w:t>
      </w:r>
      <w:r w:rsidRPr="000509FB">
        <w:rPr>
          <w:rFonts w:ascii="Times New Roman" w:hAnsi="Times New Roman" w:cs="Times New Roman"/>
          <w:sz w:val="24"/>
          <w:szCs w:val="24"/>
          <w:lang w:val="en-GB"/>
        </w:rPr>
        <w:t>climate proofing</w:t>
      </w:r>
      <w:r w:rsidRPr="000509FB">
        <w:rPr>
          <w:rFonts w:ascii="Times New Roman" w:hAnsi="Times New Roman" w:cs="Times New Roman"/>
          <w:sz w:val="24"/>
          <w:szCs w:val="24"/>
        </w:rPr>
        <w:t xml:space="preserve">) bi trebala biti pripremljena kao zaseban dokument i priložena uz projektnu prijavu. No ukoliko su neke ili sve gore opisane i tražene informacije navedene i obrazložene u nekim od postojećih dokumenata (primarno PUO za projekte koji trebaju izrađivati studiju utjecaj s obzirom da bi ista trebala sadržavati procjenu „utjecaja zahvata na klimu (primjerice: vrsta i količina emisija stakleničkih plinova) i podložnost zahvata klimatskim promjenama)“, nije potrebno pripremati poseban dokument, već priložiti postojeću dokumentaciju s odgovarajućim pojašnjenjima i uputama kao se u istoj mogu pronaći/verificirati traženi podaci. </w:t>
      </w:r>
    </w:p>
    <w:p w14:paraId="73356DFC" w14:textId="77777777" w:rsidR="00C35CD6" w:rsidRPr="000509FB" w:rsidRDefault="00C35CD6" w:rsidP="00C35CD6">
      <w:pPr>
        <w:pStyle w:val="ListParagraph"/>
        <w:numPr>
          <w:ilvl w:val="0"/>
          <w:numId w:val="3"/>
        </w:numPr>
        <w:spacing w:after="160" w:line="259" w:lineRule="auto"/>
        <w:rPr>
          <w:rFonts w:ascii="Times New Roman" w:hAnsi="Times New Roman" w:cs="Times New Roman"/>
          <w:sz w:val="24"/>
          <w:szCs w:val="24"/>
        </w:rPr>
      </w:pPr>
      <w:r w:rsidRPr="000509FB">
        <w:rPr>
          <w:rFonts w:ascii="Times New Roman" w:hAnsi="Times New Roman" w:cs="Times New Roman"/>
          <w:sz w:val="24"/>
          <w:szCs w:val="24"/>
        </w:rPr>
        <w:t xml:space="preserve">Mjere prilagodbe moguće je uključiti u projektnu prijavu (ukoliko je isto prihvatljivo). </w:t>
      </w:r>
    </w:p>
    <w:p w14:paraId="63C9624B" w14:textId="6F51B6F0" w:rsidR="00C35CD6" w:rsidRPr="000509FB" w:rsidRDefault="00C35CD6" w:rsidP="00C35CD6">
      <w:pPr>
        <w:jc w:val="both"/>
        <w:rPr>
          <w:rFonts w:ascii="Times New Roman" w:hAnsi="Times New Roman" w:cs="Times New Roman"/>
          <w:b/>
          <w:bCs/>
          <w:sz w:val="24"/>
          <w:szCs w:val="24"/>
        </w:rPr>
      </w:pPr>
      <w:r w:rsidRPr="000509FB">
        <w:rPr>
          <w:rFonts w:ascii="Times New Roman" w:hAnsi="Times New Roman" w:cs="Times New Roman"/>
          <w:b/>
          <w:bCs/>
          <w:sz w:val="24"/>
          <w:szCs w:val="24"/>
        </w:rPr>
        <w:t>Aneks (primjeri osjetljivosti i mjera prilagodbe navedeni pod točka</w:t>
      </w:r>
      <w:r w:rsidR="00846B73">
        <w:rPr>
          <w:rFonts w:ascii="Times New Roman" w:hAnsi="Times New Roman" w:cs="Times New Roman"/>
          <w:b/>
          <w:bCs/>
          <w:sz w:val="24"/>
          <w:szCs w:val="24"/>
        </w:rPr>
        <w:t>ma</w:t>
      </w:r>
      <w:r w:rsidRPr="000509FB">
        <w:rPr>
          <w:rFonts w:ascii="Times New Roman" w:hAnsi="Times New Roman" w:cs="Times New Roman"/>
          <w:b/>
          <w:bCs/>
          <w:sz w:val="24"/>
          <w:szCs w:val="24"/>
        </w:rPr>
        <w:t xml:space="preserve"> 1 i 2 isključivo su savjetodavnog karaktera tj. radi ilustracije) </w:t>
      </w:r>
    </w:p>
    <w:p w14:paraId="3FCCB9ED" w14:textId="77777777" w:rsidR="00C35CD6" w:rsidRPr="000509FB" w:rsidRDefault="00C35CD6" w:rsidP="00C35CD6">
      <w:pPr>
        <w:rPr>
          <w:rFonts w:ascii="Times New Roman" w:hAnsi="Times New Roman" w:cs="Times New Roman"/>
          <w:b/>
          <w:bCs/>
          <w:sz w:val="24"/>
          <w:szCs w:val="24"/>
        </w:rPr>
      </w:pPr>
      <w:r w:rsidRPr="000509FB">
        <w:rPr>
          <w:rFonts w:ascii="Times New Roman" w:hAnsi="Times New Roman" w:cs="Times New Roman"/>
          <w:b/>
          <w:bCs/>
          <w:sz w:val="24"/>
          <w:szCs w:val="24"/>
        </w:rPr>
        <w:t xml:space="preserve">Dodatno više primjera i uputa za mjere prilagodbe u sektoru zgradarstva možete pronaći u </w:t>
      </w:r>
      <w:r w:rsidRPr="000509FB">
        <w:rPr>
          <w:rFonts w:ascii="Times New Roman" w:hAnsi="Times New Roman" w:cs="Times New Roman"/>
          <w:sz w:val="24"/>
          <w:szCs w:val="24"/>
        </w:rPr>
        <w:t>EU-level technical guidance on adapting buildings to climate change</w:t>
      </w:r>
      <w:r w:rsidRPr="000509FB">
        <w:rPr>
          <w:rStyle w:val="FootnoteReference"/>
          <w:rFonts w:ascii="Times New Roman" w:hAnsi="Times New Roman" w:cs="Times New Roman"/>
          <w:sz w:val="24"/>
          <w:szCs w:val="24"/>
        </w:rPr>
        <w:footnoteReference w:id="2"/>
      </w:r>
    </w:p>
    <w:p w14:paraId="2C059B68" w14:textId="77777777" w:rsidR="00C35CD6" w:rsidRPr="000509FB" w:rsidRDefault="00C35CD6" w:rsidP="00C35CD6">
      <w:pPr>
        <w:pStyle w:val="ListParagraph"/>
        <w:numPr>
          <w:ilvl w:val="0"/>
          <w:numId w:val="4"/>
        </w:numPr>
        <w:spacing w:after="160" w:line="259" w:lineRule="auto"/>
        <w:rPr>
          <w:rFonts w:ascii="Times New Roman" w:hAnsi="Times New Roman" w:cs="Times New Roman"/>
          <w:sz w:val="24"/>
          <w:szCs w:val="24"/>
        </w:rPr>
      </w:pPr>
      <w:r w:rsidRPr="000509FB">
        <w:rPr>
          <w:rFonts w:ascii="Times New Roman" w:hAnsi="Times New Roman" w:cs="Times New Roman"/>
          <w:sz w:val="24"/>
          <w:szCs w:val="24"/>
        </w:rPr>
        <w:t xml:space="preserve">Tipične osjetljivosti javnih zgrada (klimatske nepogode povezane s ulaganjima u infrastrukturu i njezino korištenje) </w:t>
      </w:r>
    </w:p>
    <w:p w14:paraId="6E27A43E" w14:textId="77777777" w:rsidR="00C35CD6" w:rsidRPr="000509FB" w:rsidRDefault="00C35CD6" w:rsidP="00C35CD6">
      <w:pPr>
        <w:rPr>
          <w:rFonts w:ascii="Times New Roman" w:hAnsi="Times New Roman" w:cs="Times New Roman"/>
          <w:sz w:val="24"/>
          <w:szCs w:val="24"/>
        </w:rPr>
      </w:pPr>
    </w:p>
    <w:tbl>
      <w:tblPr>
        <w:tblStyle w:val="TableGrid1"/>
        <w:tblW w:w="5000" w:type="pct"/>
        <w:tblLook w:val="04A0" w:firstRow="1" w:lastRow="0" w:firstColumn="1" w:lastColumn="0" w:noHBand="0" w:noVBand="1"/>
      </w:tblPr>
      <w:tblGrid>
        <w:gridCol w:w="3068"/>
        <w:gridCol w:w="5994"/>
      </w:tblGrid>
      <w:tr w:rsidR="00C35CD6" w:rsidRPr="000509FB" w14:paraId="1204A514" w14:textId="77777777" w:rsidTr="00492211">
        <w:trPr>
          <w:trHeight w:val="142"/>
          <w:tblHeader/>
        </w:trPr>
        <w:tc>
          <w:tcPr>
            <w:tcW w:w="1693" w:type="pct"/>
            <w:shd w:val="clear" w:color="auto" w:fill="D9D9D9"/>
          </w:tcPr>
          <w:p w14:paraId="01D4D8F6"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Times New Roman" w:hAnsi="Times New Roman" w:cs="Times New Roman"/>
                <w:b/>
                <w:bCs/>
                <w:sz w:val="24"/>
                <w:szCs w:val="24"/>
              </w:rPr>
            </w:pPr>
            <w:r w:rsidRPr="000509FB">
              <w:rPr>
                <w:rFonts w:ascii="Times New Roman" w:hAnsi="Times New Roman" w:cs="Times New Roman"/>
                <w:b/>
                <w:bCs/>
                <w:sz w:val="24"/>
                <w:szCs w:val="24"/>
              </w:rPr>
              <w:t>Klimatski rizici</w:t>
            </w:r>
          </w:p>
        </w:tc>
        <w:tc>
          <w:tcPr>
            <w:tcW w:w="3307" w:type="pct"/>
            <w:shd w:val="clear" w:color="auto" w:fill="D9D9D9"/>
          </w:tcPr>
          <w:p w14:paraId="5D940159"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Times New Roman" w:hAnsi="Times New Roman" w:cs="Times New Roman"/>
                <w:b/>
                <w:bCs/>
                <w:sz w:val="24"/>
                <w:szCs w:val="24"/>
              </w:rPr>
            </w:pPr>
            <w:r w:rsidRPr="000509FB">
              <w:rPr>
                <w:rFonts w:ascii="Times New Roman" w:hAnsi="Times New Roman" w:cs="Times New Roman"/>
                <w:b/>
                <w:bCs/>
                <w:sz w:val="24"/>
                <w:szCs w:val="24"/>
              </w:rPr>
              <w:t>Osjetljivosti</w:t>
            </w:r>
          </w:p>
        </w:tc>
      </w:tr>
      <w:tr w:rsidR="00C35CD6" w:rsidRPr="000509FB" w14:paraId="2D7C5BEB" w14:textId="77777777" w:rsidTr="00492211">
        <w:trPr>
          <w:trHeight w:val="142"/>
        </w:trPr>
        <w:tc>
          <w:tcPr>
            <w:tcW w:w="1693" w:type="pct"/>
          </w:tcPr>
          <w:p w14:paraId="573DB067"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Times New Roman" w:hAnsi="Times New Roman" w:cs="Times New Roman"/>
                <w:bCs/>
                <w:sz w:val="24"/>
                <w:szCs w:val="24"/>
              </w:rPr>
            </w:pPr>
            <w:r w:rsidRPr="000509FB">
              <w:rPr>
                <w:rFonts w:ascii="Times New Roman" w:hAnsi="Times New Roman" w:cs="Times New Roman"/>
                <w:sz w:val="24"/>
                <w:szCs w:val="24"/>
              </w:rPr>
              <w:t>Suša</w:t>
            </w:r>
          </w:p>
        </w:tc>
        <w:tc>
          <w:tcPr>
            <w:tcW w:w="3307" w:type="pct"/>
          </w:tcPr>
          <w:p w14:paraId="74A54BD6" w14:textId="77777777" w:rsidR="00C35CD6" w:rsidRPr="000509FB" w:rsidRDefault="00C35CD6" w:rsidP="00492211">
            <w:pPr>
              <w:rPr>
                <w:rFonts w:ascii="Times New Roman" w:hAnsi="Times New Roman" w:cs="Times New Roman"/>
                <w:sz w:val="24"/>
                <w:szCs w:val="24"/>
              </w:rPr>
            </w:pPr>
            <w:r w:rsidRPr="000509FB">
              <w:rPr>
                <w:rFonts w:ascii="Times New Roman" w:hAnsi="Times New Roman" w:cs="Times New Roman"/>
                <w:sz w:val="24"/>
                <w:szCs w:val="24"/>
              </w:rPr>
              <w:t>Zgrade mogu biti osjetljive na deficite javne vodoopskrbe. Više temperature mogu povećati potražnju za vodom, dok sušna razdoblja mogu utjecati na regionalnu opskrbu.</w:t>
            </w:r>
          </w:p>
          <w:p w14:paraId="045B4A94" w14:textId="77777777" w:rsidR="00C35CD6" w:rsidRPr="000509FB" w:rsidRDefault="00C35CD6" w:rsidP="00492211">
            <w:pPr>
              <w:rPr>
                <w:rFonts w:ascii="Times New Roman" w:hAnsi="Times New Roman" w:cs="Times New Roman"/>
                <w:sz w:val="24"/>
                <w:szCs w:val="24"/>
              </w:rPr>
            </w:pPr>
            <w:r w:rsidRPr="000509FB">
              <w:rPr>
                <w:rFonts w:ascii="Times New Roman" w:hAnsi="Times New Roman" w:cs="Times New Roman"/>
                <w:sz w:val="24"/>
                <w:szCs w:val="24"/>
              </w:rPr>
              <w:t>Klimatske promjene (povećanje temperatura i promjene u obrascima padalina) i povećanje broja stanovnika također mogu izvršiti pritisak na vodne resurse.</w:t>
            </w:r>
          </w:p>
          <w:p w14:paraId="3D48D0BB" w14:textId="77777777" w:rsidR="00C35CD6" w:rsidRPr="000509FB" w:rsidRDefault="00C35CD6" w:rsidP="00492211">
            <w:pPr>
              <w:contextualSpacing/>
              <w:rPr>
                <w:rFonts w:ascii="Times New Roman" w:eastAsia="Calibri" w:hAnsi="Times New Roman" w:cs="Times New Roman"/>
                <w:sz w:val="24"/>
                <w:szCs w:val="24"/>
              </w:rPr>
            </w:pPr>
            <w:r w:rsidRPr="000509FB">
              <w:rPr>
                <w:rFonts w:ascii="Times New Roman" w:hAnsi="Times New Roman" w:cs="Times New Roman"/>
                <w:sz w:val="24"/>
                <w:szCs w:val="24"/>
              </w:rPr>
              <w:t>Nedostatak vode također može utjecati na usluge i održavanje zgrada, uključujući upravljanje krajolikom.</w:t>
            </w:r>
          </w:p>
        </w:tc>
      </w:tr>
      <w:tr w:rsidR="00C35CD6" w:rsidRPr="000509FB" w14:paraId="63254890" w14:textId="77777777" w:rsidTr="00492211">
        <w:trPr>
          <w:trHeight w:val="142"/>
        </w:trPr>
        <w:tc>
          <w:tcPr>
            <w:tcW w:w="1693" w:type="pct"/>
          </w:tcPr>
          <w:p w14:paraId="16DF12E0"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Times New Roman" w:hAnsi="Times New Roman" w:cs="Times New Roman"/>
                <w:bCs/>
                <w:sz w:val="24"/>
                <w:szCs w:val="24"/>
              </w:rPr>
            </w:pPr>
            <w:r w:rsidRPr="000509FB">
              <w:rPr>
                <w:rFonts w:ascii="Times New Roman" w:hAnsi="Times New Roman" w:cs="Times New Roman"/>
                <w:sz w:val="24"/>
                <w:szCs w:val="24"/>
              </w:rPr>
              <w:lastRenderedPageBreak/>
              <w:t>Ekstremne oborine (poplave)</w:t>
            </w:r>
          </w:p>
        </w:tc>
        <w:tc>
          <w:tcPr>
            <w:tcW w:w="3307" w:type="pct"/>
          </w:tcPr>
          <w:p w14:paraId="06E3E050" w14:textId="77777777" w:rsidR="00C35CD6" w:rsidRPr="000509FB" w:rsidRDefault="00C35CD6" w:rsidP="00492211">
            <w:pPr>
              <w:rPr>
                <w:rFonts w:ascii="Times New Roman" w:hAnsi="Times New Roman" w:cs="Times New Roman"/>
                <w:sz w:val="24"/>
                <w:szCs w:val="24"/>
              </w:rPr>
            </w:pPr>
            <w:r w:rsidRPr="000509FB">
              <w:rPr>
                <w:rFonts w:ascii="Times New Roman" w:hAnsi="Times New Roman" w:cs="Times New Roman"/>
                <w:sz w:val="24"/>
                <w:szCs w:val="24"/>
              </w:rPr>
              <w:t>Obilne i/ili dugotrajne kiše mogu proizvesti velike količine površinske vode koja može preplaviti oborinsku i kanalizacijsku infrastrukturu.</w:t>
            </w:r>
          </w:p>
          <w:p w14:paraId="6F2114BB" w14:textId="77777777" w:rsidR="00C35CD6" w:rsidRPr="000509FB" w:rsidRDefault="00C35CD6" w:rsidP="00492211">
            <w:pPr>
              <w:contextualSpacing/>
              <w:rPr>
                <w:rFonts w:ascii="Times New Roman" w:eastAsia="Calibri" w:hAnsi="Times New Roman" w:cs="Times New Roman"/>
                <w:sz w:val="24"/>
                <w:szCs w:val="24"/>
              </w:rPr>
            </w:pPr>
            <w:r w:rsidRPr="000509FB">
              <w:rPr>
                <w:rFonts w:ascii="Times New Roman" w:hAnsi="Times New Roman" w:cs="Times New Roman"/>
                <w:sz w:val="24"/>
                <w:szCs w:val="24"/>
              </w:rPr>
              <w:t>Poplave površinskih voda (pluvijalne) mogu uzrokovati ljudske žrtve, ozljede i loše zdravlje, štetu na zgradama i strukturama te poremećaje kritične infrastrukture. Posljedice poplava mogu se osjetiti mjesecima i godinama nakon događaja, posebice na zdravlje, dobrobit, sredstva za život i društvenu koheziju.</w:t>
            </w:r>
          </w:p>
        </w:tc>
      </w:tr>
      <w:tr w:rsidR="00C35CD6" w:rsidRPr="000509FB" w14:paraId="6CFB7D1B" w14:textId="77777777" w:rsidTr="00492211">
        <w:trPr>
          <w:trHeight w:val="142"/>
        </w:trPr>
        <w:tc>
          <w:tcPr>
            <w:tcW w:w="1693" w:type="pct"/>
          </w:tcPr>
          <w:p w14:paraId="285D9541"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cs="Times New Roman"/>
                <w:sz w:val="24"/>
                <w:szCs w:val="24"/>
              </w:rPr>
            </w:pPr>
            <w:r w:rsidRPr="000509FB">
              <w:rPr>
                <w:rFonts w:ascii="Times New Roman" w:hAnsi="Times New Roman" w:cs="Times New Roman"/>
                <w:sz w:val="24"/>
                <w:szCs w:val="24"/>
              </w:rPr>
              <w:t>Ekstremne temperature</w:t>
            </w:r>
          </w:p>
        </w:tc>
        <w:tc>
          <w:tcPr>
            <w:tcW w:w="3307" w:type="pct"/>
          </w:tcPr>
          <w:p w14:paraId="2933A965" w14:textId="77777777" w:rsidR="00C35CD6" w:rsidRPr="000509FB" w:rsidRDefault="00C35CD6" w:rsidP="00492211">
            <w:pPr>
              <w:rPr>
                <w:rFonts w:ascii="Times New Roman" w:hAnsi="Times New Roman" w:cs="Times New Roman"/>
                <w:sz w:val="24"/>
                <w:szCs w:val="24"/>
              </w:rPr>
            </w:pPr>
            <w:r w:rsidRPr="000509FB">
              <w:rPr>
                <w:rFonts w:ascii="Times New Roman" w:hAnsi="Times New Roman" w:cs="Times New Roman"/>
                <w:sz w:val="24"/>
                <w:szCs w:val="24"/>
              </w:rPr>
              <w:t>Previsoke vanjske temperature mogu utjecati na toplinsku udobnost, a građevinski materijali i dizajn također mogu pojačati ili smanjiti ovaj učinak.</w:t>
            </w:r>
          </w:p>
          <w:p w14:paraId="3DF645CF" w14:textId="77777777" w:rsidR="00C35CD6" w:rsidRPr="000509FB" w:rsidRDefault="00C35CD6" w:rsidP="00492211">
            <w:pPr>
              <w:rPr>
                <w:rFonts w:ascii="Times New Roman" w:hAnsi="Times New Roman" w:cs="Times New Roman"/>
                <w:sz w:val="24"/>
                <w:szCs w:val="24"/>
              </w:rPr>
            </w:pPr>
            <w:r w:rsidRPr="000509FB">
              <w:rPr>
                <w:rFonts w:ascii="Times New Roman" w:hAnsi="Times New Roman" w:cs="Times New Roman"/>
                <w:sz w:val="24"/>
                <w:szCs w:val="24"/>
              </w:rPr>
              <w:t>Javne zgrade (npr. škole, bolnice) mogu biti vrlo osjetljive na ovaj klimatski rizik jer su djeca i/ili hospitalizirani ljudi posebno rizična skupina za toplinske valove i ekstremne temperature.</w:t>
            </w:r>
          </w:p>
          <w:p w14:paraId="2BE0DFEE" w14:textId="77777777" w:rsidR="00C35CD6" w:rsidRPr="000509FB" w:rsidRDefault="00C35CD6" w:rsidP="00492211">
            <w:pPr>
              <w:contextualSpacing/>
              <w:rPr>
                <w:rFonts w:ascii="Times New Roman" w:eastAsia="Calibri" w:hAnsi="Times New Roman" w:cs="Times New Roman"/>
                <w:sz w:val="24"/>
                <w:szCs w:val="24"/>
              </w:rPr>
            </w:pPr>
            <w:r w:rsidRPr="000509FB">
              <w:rPr>
                <w:rFonts w:ascii="Times New Roman" w:hAnsi="Times New Roman" w:cs="Times New Roman"/>
                <w:sz w:val="24"/>
                <w:szCs w:val="24"/>
              </w:rPr>
              <w:t xml:space="preserve">Ekstremni vremenski uvjeti također mogu uzrokovati smanjenje ili potpuni prekid opskrbe električnom energijom.  </w:t>
            </w:r>
          </w:p>
        </w:tc>
      </w:tr>
      <w:tr w:rsidR="00C35CD6" w:rsidRPr="000509FB" w14:paraId="58BD2C45" w14:textId="77777777" w:rsidTr="00492211">
        <w:trPr>
          <w:trHeight w:val="142"/>
        </w:trPr>
        <w:tc>
          <w:tcPr>
            <w:tcW w:w="1693" w:type="pct"/>
          </w:tcPr>
          <w:p w14:paraId="06FB783D"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cs="Times New Roman"/>
                <w:sz w:val="24"/>
                <w:szCs w:val="24"/>
              </w:rPr>
            </w:pPr>
            <w:r w:rsidRPr="000509FB">
              <w:rPr>
                <w:rFonts w:ascii="Times New Roman" w:hAnsi="Times New Roman" w:cs="Times New Roman"/>
                <w:sz w:val="24"/>
                <w:szCs w:val="24"/>
              </w:rPr>
              <w:t>Podizanje razine mora i olujni val</w:t>
            </w:r>
          </w:p>
        </w:tc>
        <w:tc>
          <w:tcPr>
            <w:tcW w:w="3307" w:type="pct"/>
          </w:tcPr>
          <w:p w14:paraId="78406059" w14:textId="77777777" w:rsidR="00C35CD6" w:rsidRPr="000509FB" w:rsidRDefault="00C35CD6" w:rsidP="00492211">
            <w:pPr>
              <w:contextualSpacing/>
              <w:rPr>
                <w:rFonts w:ascii="Times New Roman" w:eastAsia="Calibri" w:hAnsi="Times New Roman" w:cs="Times New Roman"/>
                <w:sz w:val="24"/>
                <w:szCs w:val="24"/>
              </w:rPr>
            </w:pPr>
            <w:r w:rsidRPr="000509FB">
              <w:rPr>
                <w:rFonts w:ascii="Times New Roman" w:hAnsi="Times New Roman" w:cs="Times New Roman"/>
                <w:sz w:val="24"/>
                <w:szCs w:val="24"/>
              </w:rPr>
              <w:t xml:space="preserve">Za zgrade u obalnim područjima podizanje razine mora povećat će rizik od obalnih poplava uzrokovanih olujnim valovima i visokim plimama. Obalne poplave mogu oštetiti ovojnicu zgrade, kao i građevinske instalacije i opremu. </w:t>
            </w:r>
          </w:p>
        </w:tc>
      </w:tr>
      <w:tr w:rsidR="00C35CD6" w:rsidRPr="000509FB" w14:paraId="5C1B3C6D" w14:textId="77777777" w:rsidTr="00492211">
        <w:trPr>
          <w:trHeight w:val="142"/>
        </w:trPr>
        <w:tc>
          <w:tcPr>
            <w:tcW w:w="1693" w:type="pct"/>
          </w:tcPr>
          <w:p w14:paraId="6C58294E"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cs="Times New Roman"/>
                <w:sz w:val="24"/>
                <w:szCs w:val="24"/>
              </w:rPr>
            </w:pPr>
            <w:r w:rsidRPr="000509FB">
              <w:rPr>
                <w:rFonts w:ascii="Times New Roman" w:hAnsi="Times New Roman" w:cs="Times New Roman"/>
                <w:sz w:val="24"/>
                <w:szCs w:val="24"/>
              </w:rPr>
              <w:t>Sunčevo zračenje</w:t>
            </w:r>
          </w:p>
        </w:tc>
        <w:tc>
          <w:tcPr>
            <w:tcW w:w="3307" w:type="pct"/>
          </w:tcPr>
          <w:p w14:paraId="0D35982A" w14:textId="77777777" w:rsidR="00C35CD6" w:rsidRPr="000509FB" w:rsidRDefault="00C35CD6" w:rsidP="00492211">
            <w:pPr>
              <w:contextualSpacing/>
              <w:rPr>
                <w:rFonts w:ascii="Times New Roman" w:eastAsia="Calibri" w:hAnsi="Times New Roman" w:cs="Times New Roman"/>
                <w:sz w:val="24"/>
                <w:szCs w:val="24"/>
              </w:rPr>
            </w:pPr>
            <w:r w:rsidRPr="000509FB">
              <w:rPr>
                <w:rFonts w:ascii="Times New Roman" w:hAnsi="Times New Roman" w:cs="Times New Roman"/>
                <w:sz w:val="24"/>
                <w:szCs w:val="24"/>
              </w:rPr>
              <w:t>Dugotrajno izlaganje sunčevom zračenju i ekstremnim temperaturama može prouzročiti štetu ovojnici zgrade, građevinskim elementima, instalacijama i opremi zbog širenja, izvijanja i naprezanja struktura i površina te nedostupnosti građevinskih usluga.</w:t>
            </w:r>
          </w:p>
        </w:tc>
      </w:tr>
      <w:tr w:rsidR="00C35CD6" w:rsidRPr="000509FB" w14:paraId="4D13FCAF" w14:textId="77777777" w:rsidTr="00492211">
        <w:trPr>
          <w:trHeight w:val="142"/>
        </w:trPr>
        <w:tc>
          <w:tcPr>
            <w:tcW w:w="1693" w:type="pct"/>
          </w:tcPr>
          <w:p w14:paraId="1BEA1224"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cs="Times New Roman"/>
                <w:sz w:val="24"/>
                <w:szCs w:val="24"/>
              </w:rPr>
            </w:pPr>
            <w:r w:rsidRPr="000509FB">
              <w:rPr>
                <w:rFonts w:ascii="Times New Roman" w:hAnsi="Times New Roman" w:cs="Times New Roman"/>
                <w:sz w:val="24"/>
                <w:szCs w:val="24"/>
              </w:rPr>
              <w:t>Oluje i jak vjetar</w:t>
            </w:r>
          </w:p>
        </w:tc>
        <w:tc>
          <w:tcPr>
            <w:tcW w:w="3307" w:type="pct"/>
          </w:tcPr>
          <w:p w14:paraId="7DC6C22C" w14:textId="77777777" w:rsidR="00C35CD6" w:rsidRPr="000509FB" w:rsidRDefault="00C35CD6" w:rsidP="00492211">
            <w:pPr>
              <w:contextualSpacing/>
              <w:rPr>
                <w:rFonts w:ascii="Times New Roman" w:eastAsia="Calibri" w:hAnsi="Times New Roman" w:cs="Times New Roman"/>
                <w:sz w:val="24"/>
                <w:szCs w:val="24"/>
              </w:rPr>
            </w:pPr>
            <w:r w:rsidRPr="000509FB">
              <w:rPr>
                <w:rFonts w:ascii="Times New Roman" w:hAnsi="Times New Roman" w:cs="Times New Roman"/>
                <w:sz w:val="24"/>
                <w:szCs w:val="24"/>
              </w:rPr>
              <w:t xml:space="preserve">Jaki vjetrovi i oluje (uključujući munje i snijeg) također mogu uzrokovati štetu ovojnici zgrade, građevinskim elementima, instalacijama i opremi. Ekstremni vremenski uvjeti mogu uzrokovati smanjenje ili potpuni prekid opskrbe električnom energijom.  </w:t>
            </w:r>
          </w:p>
        </w:tc>
      </w:tr>
      <w:tr w:rsidR="00C35CD6" w:rsidRPr="000509FB" w14:paraId="10B704FD" w14:textId="77777777" w:rsidTr="00492211">
        <w:trPr>
          <w:trHeight w:val="142"/>
        </w:trPr>
        <w:tc>
          <w:tcPr>
            <w:tcW w:w="1693" w:type="pct"/>
          </w:tcPr>
          <w:p w14:paraId="12D1923B"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Times New Roman" w:hAnsi="Times New Roman" w:cs="Times New Roman"/>
                <w:bCs/>
                <w:sz w:val="24"/>
                <w:szCs w:val="24"/>
              </w:rPr>
            </w:pPr>
            <w:r w:rsidRPr="000509FB">
              <w:rPr>
                <w:rFonts w:ascii="Times New Roman" w:hAnsi="Times New Roman" w:cs="Times New Roman"/>
                <w:sz w:val="24"/>
                <w:szCs w:val="24"/>
              </w:rPr>
              <w:t>Stabilnost i slijeganje tla</w:t>
            </w:r>
          </w:p>
        </w:tc>
        <w:tc>
          <w:tcPr>
            <w:tcW w:w="3307" w:type="pct"/>
          </w:tcPr>
          <w:p w14:paraId="0CE38DF2" w14:textId="77777777" w:rsidR="00C35CD6" w:rsidRPr="000509FB" w:rsidRDefault="00C35CD6" w:rsidP="00492211">
            <w:pPr>
              <w:rPr>
                <w:rFonts w:ascii="Times New Roman" w:hAnsi="Times New Roman" w:cs="Times New Roman"/>
                <w:sz w:val="24"/>
                <w:szCs w:val="24"/>
              </w:rPr>
            </w:pPr>
            <w:r w:rsidRPr="000509FB">
              <w:rPr>
                <w:rFonts w:ascii="Times New Roman" w:hAnsi="Times New Roman" w:cs="Times New Roman"/>
                <w:sz w:val="24"/>
                <w:szCs w:val="24"/>
              </w:rPr>
              <w:t>Suša i smanjenje količine vlage u tlu mogu uzrokovati skupljanje i slijeganje tla.</w:t>
            </w:r>
          </w:p>
          <w:p w14:paraId="10C92C59" w14:textId="77777777" w:rsidR="00C35CD6" w:rsidRPr="000509FB" w:rsidRDefault="00C35CD6" w:rsidP="00492211">
            <w:pPr>
              <w:contextualSpacing/>
              <w:rPr>
                <w:rFonts w:ascii="Times New Roman" w:eastAsia="Times New Roman" w:hAnsi="Times New Roman" w:cs="Times New Roman"/>
                <w:sz w:val="24"/>
                <w:szCs w:val="24"/>
              </w:rPr>
            </w:pPr>
            <w:r w:rsidRPr="000509FB">
              <w:rPr>
                <w:rFonts w:ascii="Times New Roman" w:hAnsi="Times New Roman" w:cs="Times New Roman"/>
                <w:sz w:val="24"/>
                <w:szCs w:val="24"/>
              </w:rPr>
              <w:t>Slijeganje tla može uzrokovati lokaliziranu, ali veliku štetu na zgradama i infrastrukturi.</w:t>
            </w:r>
          </w:p>
        </w:tc>
      </w:tr>
      <w:tr w:rsidR="00C35CD6" w:rsidRPr="000509FB" w14:paraId="7F9F9E69" w14:textId="77777777" w:rsidTr="00492211">
        <w:trPr>
          <w:trHeight w:val="142"/>
        </w:trPr>
        <w:tc>
          <w:tcPr>
            <w:tcW w:w="1693" w:type="pct"/>
          </w:tcPr>
          <w:p w14:paraId="5847094B"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Times New Roman" w:hAnsi="Times New Roman" w:cs="Times New Roman"/>
                <w:bCs/>
                <w:sz w:val="24"/>
                <w:szCs w:val="24"/>
              </w:rPr>
            </w:pPr>
            <w:r w:rsidRPr="000509FB">
              <w:rPr>
                <w:rFonts w:ascii="Times New Roman" w:hAnsi="Times New Roman" w:cs="Times New Roman"/>
                <w:sz w:val="24"/>
                <w:szCs w:val="24"/>
              </w:rPr>
              <w:t>Požar</w:t>
            </w:r>
          </w:p>
        </w:tc>
        <w:tc>
          <w:tcPr>
            <w:tcW w:w="3307" w:type="pct"/>
          </w:tcPr>
          <w:p w14:paraId="383C629B" w14:textId="77777777" w:rsidR="00C35CD6" w:rsidRPr="000509FB" w:rsidRDefault="00C35CD6" w:rsidP="00492211">
            <w:pPr>
              <w:contextualSpacing/>
              <w:rPr>
                <w:rFonts w:ascii="Times New Roman" w:eastAsia="Times New Roman" w:hAnsi="Times New Roman" w:cs="Times New Roman"/>
                <w:sz w:val="24"/>
                <w:szCs w:val="24"/>
              </w:rPr>
            </w:pPr>
            <w:r w:rsidRPr="000509FB">
              <w:rPr>
                <w:rFonts w:ascii="Times New Roman" w:hAnsi="Times New Roman" w:cs="Times New Roman"/>
                <w:sz w:val="24"/>
                <w:szCs w:val="24"/>
              </w:rPr>
              <w:t xml:space="preserve">Ljudske žrtve, visoki ekonomski troškovi i utjecaji na zdravlje od same vatre i povezanog dima. Ekstremni </w:t>
            </w:r>
            <w:r w:rsidRPr="000509FB">
              <w:rPr>
                <w:rFonts w:ascii="Times New Roman" w:hAnsi="Times New Roman" w:cs="Times New Roman"/>
                <w:sz w:val="24"/>
                <w:szCs w:val="24"/>
              </w:rPr>
              <w:lastRenderedPageBreak/>
              <w:t>vremenski uvjeti također mogu uzrokovati smanjenje ili potpuni prekid opskrbe električnom energijom.  </w:t>
            </w:r>
            <w:r w:rsidRPr="000509FB">
              <w:rPr>
                <w:rFonts w:ascii="Times New Roman" w:eastAsia="Calibri" w:hAnsi="Times New Roman" w:cs="Times New Roman"/>
                <w:sz w:val="24"/>
                <w:szCs w:val="24"/>
              </w:rPr>
              <w:t>.</w:t>
            </w:r>
          </w:p>
        </w:tc>
      </w:tr>
    </w:tbl>
    <w:p w14:paraId="298D14A3" w14:textId="77777777" w:rsidR="00C35CD6" w:rsidRPr="000509FB" w:rsidRDefault="00C35CD6" w:rsidP="00C35CD6">
      <w:pPr>
        <w:pStyle w:val="ListParagraph"/>
        <w:rPr>
          <w:rFonts w:ascii="Times New Roman" w:hAnsi="Times New Roman" w:cs="Times New Roman"/>
          <w:sz w:val="24"/>
          <w:szCs w:val="24"/>
        </w:rPr>
      </w:pPr>
    </w:p>
    <w:p w14:paraId="245D79AC" w14:textId="77777777" w:rsidR="00C35CD6" w:rsidRPr="000509FB" w:rsidRDefault="00C35CD6" w:rsidP="00C35CD6">
      <w:pPr>
        <w:pStyle w:val="ListParagraph"/>
        <w:numPr>
          <w:ilvl w:val="0"/>
          <w:numId w:val="4"/>
        </w:numPr>
        <w:spacing w:after="160" w:line="259" w:lineRule="auto"/>
        <w:rPr>
          <w:rFonts w:ascii="Times New Roman" w:hAnsi="Times New Roman" w:cs="Times New Roman"/>
          <w:sz w:val="24"/>
          <w:szCs w:val="24"/>
        </w:rPr>
      </w:pPr>
      <w:r w:rsidRPr="000509FB">
        <w:rPr>
          <w:rFonts w:ascii="Times New Roman" w:hAnsi="Times New Roman" w:cs="Times New Roman"/>
          <w:sz w:val="24"/>
          <w:szCs w:val="24"/>
        </w:rPr>
        <w:t xml:space="preserve">Indikativne mjere prilagodbe za zgrade </w:t>
      </w:r>
    </w:p>
    <w:tbl>
      <w:tblPr>
        <w:tblStyle w:val="TableGrid1"/>
        <w:tblW w:w="5000" w:type="pct"/>
        <w:tblLook w:val="04A0" w:firstRow="1" w:lastRow="0" w:firstColumn="1" w:lastColumn="0" w:noHBand="0" w:noVBand="1"/>
      </w:tblPr>
      <w:tblGrid>
        <w:gridCol w:w="1979"/>
        <w:gridCol w:w="7083"/>
      </w:tblGrid>
      <w:tr w:rsidR="00C35CD6" w:rsidRPr="000509FB" w14:paraId="680533D4" w14:textId="77777777" w:rsidTr="00492211">
        <w:trPr>
          <w:tblHeader/>
        </w:trPr>
        <w:tc>
          <w:tcPr>
            <w:tcW w:w="1092" w:type="pct"/>
            <w:shd w:val="clear" w:color="auto" w:fill="D9D9D9"/>
            <w:vAlign w:val="center"/>
          </w:tcPr>
          <w:p w14:paraId="311187C3"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Times New Roman" w:hAnsi="Times New Roman" w:cs="Times New Roman"/>
                <w:b/>
                <w:bCs/>
                <w:sz w:val="24"/>
                <w:szCs w:val="24"/>
              </w:rPr>
            </w:pPr>
            <w:r w:rsidRPr="000509FB">
              <w:rPr>
                <w:rFonts w:ascii="Times New Roman" w:eastAsia="Times New Roman" w:hAnsi="Times New Roman" w:cs="Times New Roman"/>
                <w:b/>
                <w:bCs/>
                <w:sz w:val="24"/>
                <w:szCs w:val="24"/>
              </w:rPr>
              <w:t xml:space="preserve">Klimatska nepogoda </w:t>
            </w:r>
          </w:p>
        </w:tc>
        <w:tc>
          <w:tcPr>
            <w:tcW w:w="3908" w:type="pct"/>
            <w:shd w:val="clear" w:color="auto" w:fill="D9D9D9"/>
          </w:tcPr>
          <w:p w14:paraId="08921A3C"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Times New Roman" w:hAnsi="Times New Roman" w:cs="Times New Roman"/>
                <w:b/>
                <w:bCs/>
                <w:sz w:val="24"/>
                <w:szCs w:val="24"/>
              </w:rPr>
            </w:pPr>
            <w:r w:rsidRPr="000509FB">
              <w:rPr>
                <w:rFonts w:ascii="Times New Roman" w:eastAsia="Times New Roman" w:hAnsi="Times New Roman" w:cs="Times New Roman"/>
                <w:b/>
                <w:bCs/>
                <w:sz w:val="24"/>
                <w:szCs w:val="24"/>
              </w:rPr>
              <w:t xml:space="preserve">Indikativne mjere prilagodbe </w:t>
            </w:r>
          </w:p>
        </w:tc>
      </w:tr>
      <w:tr w:rsidR="00C35CD6" w:rsidRPr="000509FB" w14:paraId="1DC9D407" w14:textId="77777777" w:rsidTr="00492211">
        <w:trPr>
          <w:trHeight w:val="1380"/>
        </w:trPr>
        <w:tc>
          <w:tcPr>
            <w:tcW w:w="1092" w:type="pct"/>
            <w:vAlign w:val="center"/>
          </w:tcPr>
          <w:p w14:paraId="2AA24986"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Suša</w:t>
            </w:r>
          </w:p>
        </w:tc>
        <w:tc>
          <w:tcPr>
            <w:tcW w:w="3908" w:type="pct"/>
          </w:tcPr>
          <w:p w14:paraId="2EEB56AC" w14:textId="77777777" w:rsidR="00C35CD6" w:rsidRPr="000509FB" w:rsidRDefault="00C35CD6" w:rsidP="00C35CD6">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Sustav prikupljanja kišnice</w:t>
            </w:r>
          </w:p>
          <w:p w14:paraId="1568D8C8" w14:textId="77777777" w:rsidR="00C35CD6" w:rsidRPr="000509FB" w:rsidRDefault="00C35CD6" w:rsidP="00C35CD6">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Učinkovitiji uređaji  </w:t>
            </w:r>
          </w:p>
          <w:p w14:paraId="72513164" w14:textId="77777777" w:rsidR="00C35CD6" w:rsidRPr="000509FB" w:rsidRDefault="00C35CD6" w:rsidP="00C35CD6">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Mjerači potrošnje </w:t>
            </w:r>
          </w:p>
          <w:p w14:paraId="2FE0C722" w14:textId="77777777" w:rsidR="00C35CD6" w:rsidRPr="000509FB" w:rsidRDefault="00C35CD6" w:rsidP="00C35CD6">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otkrivanje i prevencija gubitaka </w:t>
            </w:r>
          </w:p>
          <w:p w14:paraId="5D443C4A" w14:textId="77777777" w:rsidR="00C35CD6" w:rsidRPr="000509FB" w:rsidRDefault="00C35CD6" w:rsidP="00C35CD6">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Obrada organskih otpadnih voda (npr. reed bed)</w:t>
            </w:r>
          </w:p>
        </w:tc>
      </w:tr>
      <w:tr w:rsidR="00C35CD6" w:rsidRPr="000509FB" w14:paraId="3312D17C" w14:textId="77777777" w:rsidTr="00492211">
        <w:tc>
          <w:tcPr>
            <w:tcW w:w="1092" w:type="pct"/>
            <w:vAlign w:val="center"/>
          </w:tcPr>
          <w:p w14:paraId="62D7CEA8"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Velike oborine i poplave</w:t>
            </w:r>
          </w:p>
          <w:p w14:paraId="0C1FF321"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p w14:paraId="40BEE246"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Rast razine mora i buijične poplave</w:t>
            </w:r>
          </w:p>
        </w:tc>
        <w:tc>
          <w:tcPr>
            <w:tcW w:w="3908" w:type="pct"/>
          </w:tcPr>
          <w:p w14:paraId="75FB747D"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Izbjegavanje korištenja jeftinog zemljišta kao što su poplavne ravni </w:t>
            </w:r>
          </w:p>
          <w:p w14:paraId="4AB0D02D"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Korištenje vodno-nepropusnih materijala, uključujući zelene površine </w:t>
            </w:r>
          </w:p>
          <w:p w14:paraId="7C2F366B"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Promjene u kapacitetu sustav odvodnje (uvažavajući efekte klimatskih promjena) </w:t>
            </w:r>
          </w:p>
          <w:p w14:paraId="3A47B28A"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Postavljanje utičnica na 1 metar iznad poda </w:t>
            </w:r>
          </w:p>
          <w:p w14:paraId="6B9921C9"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izgradnja prepreka ili nasipa ili preusmjeravanje toka vode </w:t>
            </w:r>
          </w:p>
          <w:p w14:paraId="6CB20B10"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Promjene u granicama postavljanja vrata kako bi se omogućilo postavljanje vreća s pijeskom ili drugih barijera </w:t>
            </w:r>
          </w:p>
          <w:p w14:paraId="055F4626"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Vodootporni sustavi građenja temelja i podnožja zgrade </w:t>
            </w:r>
          </w:p>
        </w:tc>
      </w:tr>
      <w:tr w:rsidR="00C35CD6" w:rsidRPr="000509FB" w14:paraId="02D75B88" w14:textId="77777777" w:rsidTr="00492211">
        <w:tc>
          <w:tcPr>
            <w:tcW w:w="1092" w:type="pct"/>
            <w:vAlign w:val="center"/>
          </w:tcPr>
          <w:p w14:paraId="73FB45EE"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Ekstremno visoke temperature </w:t>
            </w:r>
          </w:p>
        </w:tc>
        <w:tc>
          <w:tcPr>
            <w:tcW w:w="3908" w:type="pct"/>
          </w:tcPr>
          <w:p w14:paraId="09B6AB08"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Sjene u krajoliku (uključujući prirodna sjenila) i zgradama (zapreke za sunce, “second skin” struktura zgrada tj. fasada, dublji utori prozora ...)</w:t>
            </w:r>
          </w:p>
          <w:p w14:paraId="3FCC1737"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Korištenje visoko-učinkovitog stakla za minimiziranje prijenosa topline</w:t>
            </w:r>
          </w:p>
          <w:p w14:paraId="13A3737F"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Poboljšanje termalne izolacije </w:t>
            </w:r>
          </w:p>
          <w:p w14:paraId="009292CD"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Korištenje rasvjete s niskom potrošnjom energije  (LEDs)</w:t>
            </w:r>
          </w:p>
          <w:p w14:paraId="121676C7"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Efikasniji uređaji za klimatizaciju </w:t>
            </w:r>
          </w:p>
        </w:tc>
      </w:tr>
      <w:tr w:rsidR="00C35CD6" w:rsidRPr="000509FB" w14:paraId="1CE3AE0F" w14:textId="77777777" w:rsidTr="00492211">
        <w:tc>
          <w:tcPr>
            <w:tcW w:w="1092" w:type="pct"/>
            <w:vAlign w:val="center"/>
          </w:tcPr>
          <w:p w14:paraId="1ADF27F8"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Sunčevo zračenje </w:t>
            </w:r>
          </w:p>
        </w:tc>
        <w:tc>
          <w:tcPr>
            <w:tcW w:w="3908" w:type="pct"/>
          </w:tcPr>
          <w:p w14:paraId="7E0D0FB9"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Upotreba građevinskih materijala koji mogu izdržati povećanu sunčevo zračenje  </w:t>
            </w:r>
          </w:p>
          <w:p w14:paraId="5621355D"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Promjene u krajobraznom materijalu (npr. makadam) koji mogu izdržati povećano sunčevo zračenje  </w:t>
            </w:r>
          </w:p>
          <w:p w14:paraId="53090A79"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Postavljanje osjetljivih komponenti iza fasade (npr. plastične cijevi za kišnicu) </w:t>
            </w:r>
          </w:p>
        </w:tc>
      </w:tr>
      <w:tr w:rsidR="00C35CD6" w:rsidRPr="000509FB" w14:paraId="4DD612AF" w14:textId="77777777" w:rsidTr="00492211">
        <w:tc>
          <w:tcPr>
            <w:tcW w:w="1092" w:type="pct"/>
            <w:vAlign w:val="center"/>
          </w:tcPr>
          <w:p w14:paraId="659930B7"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Oluje i jak vjetar </w:t>
            </w:r>
          </w:p>
        </w:tc>
        <w:tc>
          <w:tcPr>
            <w:tcW w:w="3908" w:type="pct"/>
          </w:tcPr>
          <w:p w14:paraId="40EED052"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Povećanje strukturalne izdržljivosti, teži okvir, stupovi za vjetar </w:t>
            </w:r>
          </w:p>
          <w:p w14:paraId="24BAAC96"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Poboljšanje specifikacije koje omogućavaju da oplata zgrade izdrži udare vjetra</w:t>
            </w:r>
          </w:p>
          <w:p w14:paraId="287BC552"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Dodatna krovna ploča </w:t>
            </w:r>
          </w:p>
          <w:p w14:paraId="2F4D9190"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Prepreke/otvori za slamanje vjetra, izbjegavanje uskih oblika ..</w:t>
            </w:r>
          </w:p>
        </w:tc>
      </w:tr>
      <w:tr w:rsidR="00C35CD6" w:rsidRPr="000509FB" w14:paraId="0EE233B0" w14:textId="77777777" w:rsidTr="00492211">
        <w:tc>
          <w:tcPr>
            <w:tcW w:w="1092" w:type="pct"/>
            <w:vAlign w:val="center"/>
          </w:tcPr>
          <w:p w14:paraId="2897A775"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lastRenderedPageBreak/>
              <w:t xml:space="preserve">Promjene u stabilnosti i sastavu tla </w:t>
            </w:r>
          </w:p>
        </w:tc>
        <w:tc>
          <w:tcPr>
            <w:tcW w:w="3908" w:type="pct"/>
          </w:tcPr>
          <w:p w14:paraId="5CFFEBD9"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Drveni okviri, lagani paneli koji omogućuju manju “težinu” zgade te njezino pomicanje</w:t>
            </w:r>
          </w:p>
          <w:p w14:paraId="6107D473"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Temeljenje zgrade koje omogućava da se ista pomiče I poravnava</w:t>
            </w:r>
          </w:p>
          <w:p w14:paraId="046E19D8"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Povećanje dubine pilota do razine stijene </w:t>
            </w:r>
          </w:p>
        </w:tc>
      </w:tr>
      <w:tr w:rsidR="00C35CD6" w:rsidRPr="000509FB" w14:paraId="32B07D26" w14:textId="77777777" w:rsidTr="00492211">
        <w:tc>
          <w:tcPr>
            <w:tcW w:w="1092" w:type="pct"/>
            <w:vAlign w:val="center"/>
          </w:tcPr>
          <w:p w14:paraId="16E58D9A" w14:textId="77777777" w:rsidR="00C35CD6" w:rsidRPr="000509FB" w:rsidRDefault="00C35CD6" w:rsidP="0049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Požari na otvorenom </w:t>
            </w:r>
          </w:p>
        </w:tc>
        <w:tc>
          <w:tcPr>
            <w:tcW w:w="3908" w:type="pct"/>
          </w:tcPr>
          <w:p w14:paraId="7F761C4A"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Korištenje materijala za oblogu koji su nisko zapaljivi ili nisu zapaljivi</w:t>
            </w:r>
          </w:p>
          <w:p w14:paraId="712850CB" w14:textId="77777777" w:rsidR="00C35CD6" w:rsidRPr="000509FB" w:rsidRDefault="00C35CD6" w:rsidP="00C35CD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r w:rsidRPr="000509FB">
              <w:rPr>
                <w:rFonts w:ascii="Times New Roman" w:eastAsia="Times New Roman" w:hAnsi="Times New Roman" w:cs="Times New Roman"/>
                <w:sz w:val="24"/>
                <w:szCs w:val="24"/>
              </w:rPr>
              <w:t xml:space="preserve">Pristupne ceste ili otvori kao barijere za širenje požara </w:t>
            </w:r>
          </w:p>
        </w:tc>
      </w:tr>
    </w:tbl>
    <w:p w14:paraId="4D6DF969" w14:textId="77777777" w:rsidR="0014554E" w:rsidRDefault="0014554E"/>
    <w:sectPr w:rsidR="0014554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1AFA6" w14:textId="77777777" w:rsidR="00C35CD6" w:rsidRDefault="00C35CD6" w:rsidP="00C35CD6">
      <w:pPr>
        <w:spacing w:after="0" w:line="240" w:lineRule="auto"/>
      </w:pPr>
      <w:r>
        <w:separator/>
      </w:r>
    </w:p>
  </w:endnote>
  <w:endnote w:type="continuationSeparator" w:id="0">
    <w:p w14:paraId="116C3E57" w14:textId="77777777" w:rsidR="00C35CD6" w:rsidRDefault="00C35CD6" w:rsidP="00C35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2D11D" w14:textId="77777777" w:rsidR="00C35CD6" w:rsidRDefault="00C35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E3337" w14:textId="1992BAD3" w:rsidR="00C35CD6" w:rsidRDefault="00C35CD6">
    <w:pPr>
      <w:pStyle w:val="Footer"/>
    </w:pPr>
    <w:r>
      <w:rPr>
        <w:noProof/>
      </w:rPr>
      <w:drawing>
        <wp:inline distT="0" distB="0" distL="0" distR="0" wp14:anchorId="174541C9" wp14:editId="56F98167">
          <wp:extent cx="1720800" cy="586800"/>
          <wp:effectExtent l="0" t="0" r="0" b="0"/>
          <wp:docPr id="2"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20800" cy="586800"/>
                  </a:xfrm>
                  <a:prstGeom prst="rect">
                    <a:avLst/>
                  </a:prstGeom>
                </pic:spPr>
              </pic:pic>
            </a:graphicData>
          </a:graphic>
        </wp:inline>
      </w:drawing>
    </w:r>
    <w:r>
      <w:rPr>
        <w:noProof/>
      </w:rPr>
      <w:t xml:space="preserve">                                                                  </w:t>
    </w:r>
    <w:r w:rsidRPr="00C35CD6">
      <w:rPr>
        <w:rFonts w:ascii="Calibri" w:eastAsia="PMingLiU" w:hAnsi="Calibri" w:cs="Times New Roman"/>
        <w:noProof/>
        <w:lang w:eastAsia="hr-HR"/>
      </w:rPr>
      <w:drawing>
        <wp:inline distT="0" distB="0" distL="0" distR="0" wp14:anchorId="2D15F151" wp14:editId="3DD780E6">
          <wp:extent cx="1463040" cy="365760"/>
          <wp:effectExtent l="0" t="0" r="3810" b="0"/>
          <wp:docPr id="472629160"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629160" name="Picture 1" descr="A close-up of a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3040" cy="365760"/>
                  </a:xfrm>
                  <a:prstGeom prst="rect">
                    <a:avLst/>
                  </a:prstGeom>
                  <a:noFill/>
                </pic:spPr>
              </pic:pic>
            </a:graphicData>
          </a:graphic>
        </wp:inline>
      </w:drawing>
    </w:r>
    <w:r>
      <w:rPr>
        <w:noProof/>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71654" w14:textId="77777777" w:rsidR="00C35CD6" w:rsidRDefault="00C35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E8FB6" w14:textId="77777777" w:rsidR="00C35CD6" w:rsidRDefault="00C35CD6" w:rsidP="00C35CD6">
      <w:pPr>
        <w:spacing w:after="0" w:line="240" w:lineRule="auto"/>
      </w:pPr>
      <w:r>
        <w:separator/>
      </w:r>
    </w:p>
  </w:footnote>
  <w:footnote w:type="continuationSeparator" w:id="0">
    <w:p w14:paraId="12E9DCD2" w14:textId="77777777" w:rsidR="00C35CD6" w:rsidRDefault="00C35CD6" w:rsidP="00C35CD6">
      <w:pPr>
        <w:spacing w:after="0" w:line="240" w:lineRule="auto"/>
      </w:pPr>
      <w:r>
        <w:continuationSeparator/>
      </w:r>
    </w:p>
  </w:footnote>
  <w:footnote w:id="1">
    <w:p w14:paraId="37BDE8F5" w14:textId="77777777" w:rsidR="00C35CD6" w:rsidRPr="00EC6EDA" w:rsidRDefault="00C35CD6" w:rsidP="00C35CD6">
      <w:pPr>
        <w:pStyle w:val="FootnoteText"/>
        <w:rPr>
          <w:rFonts w:ascii="Times New Roman" w:hAnsi="Times New Roman" w:cs="Times New Roman"/>
        </w:rPr>
      </w:pPr>
      <w:r w:rsidRPr="00EC6EDA">
        <w:rPr>
          <w:rStyle w:val="FootnoteReference"/>
          <w:rFonts w:ascii="Times New Roman" w:hAnsi="Times New Roman" w:cs="Times New Roman"/>
          <w:sz w:val="18"/>
          <w:szCs w:val="18"/>
        </w:rPr>
        <w:footnoteRef/>
      </w:r>
      <w:r w:rsidRPr="00EC6EDA">
        <w:rPr>
          <w:rFonts w:ascii="Times New Roman" w:hAnsi="Times New Roman" w:cs="Times New Roman"/>
          <w:sz w:val="18"/>
          <w:szCs w:val="18"/>
        </w:rPr>
        <w:t xml:space="preserve"> </w:t>
      </w:r>
      <w:hyperlink r:id="rId1" w:history="1">
        <w:r w:rsidRPr="00EC6EDA">
          <w:rPr>
            <w:rStyle w:val="Hyperlink"/>
            <w:rFonts w:ascii="Times New Roman" w:hAnsi="Times New Roman" w:cs="Times New Roman"/>
            <w:sz w:val="18"/>
            <w:szCs w:val="18"/>
          </w:rPr>
          <w:t>https://op.europa.eu/en/publication-detail/-/publication/23a24b21-16d0-11ec-b4fe-01aa75ed71a1/language-en</w:t>
        </w:r>
      </w:hyperlink>
      <w:r w:rsidRPr="00EC6EDA">
        <w:rPr>
          <w:rFonts w:ascii="Times New Roman" w:hAnsi="Times New Roman" w:cs="Times New Roman"/>
          <w:sz w:val="18"/>
          <w:szCs w:val="18"/>
        </w:rPr>
        <w:t xml:space="preserve"> </w:t>
      </w:r>
    </w:p>
  </w:footnote>
  <w:footnote w:id="2">
    <w:p w14:paraId="0B9EC3CB" w14:textId="77777777" w:rsidR="00C35CD6" w:rsidRPr="00EC6EDA" w:rsidRDefault="00C35CD6" w:rsidP="00C35CD6">
      <w:pPr>
        <w:pStyle w:val="FootnoteText"/>
        <w:rPr>
          <w:rFonts w:ascii="Times New Roman" w:hAnsi="Times New Roman" w:cs="Times New Roman"/>
        </w:rPr>
      </w:pPr>
      <w:r w:rsidRPr="00EC6EDA">
        <w:rPr>
          <w:rStyle w:val="FootnoteReference"/>
          <w:rFonts w:ascii="Times New Roman" w:hAnsi="Times New Roman" w:cs="Times New Roman"/>
          <w:sz w:val="16"/>
          <w:szCs w:val="16"/>
        </w:rPr>
        <w:footnoteRef/>
      </w:r>
      <w:r w:rsidRPr="00EC6EDA">
        <w:rPr>
          <w:rFonts w:ascii="Times New Roman" w:hAnsi="Times New Roman" w:cs="Times New Roman"/>
          <w:sz w:val="16"/>
          <w:szCs w:val="16"/>
        </w:rPr>
        <w:t xml:space="preserve"> </w:t>
      </w:r>
      <w:hyperlink r:id="rId2" w:history="1">
        <w:r w:rsidRPr="00EC6EDA">
          <w:rPr>
            <w:rStyle w:val="Hyperlink"/>
            <w:rFonts w:ascii="Times New Roman" w:hAnsi="Times New Roman" w:cs="Times New Roman"/>
            <w:sz w:val="16"/>
            <w:szCs w:val="16"/>
          </w:rPr>
          <w:t>https://susproc.jrc.ec.europa.eu/product-bureau/sites/default/files/2023-04/Technical%20Guidance%20adapting%20buildings.pdf</w:t>
        </w:r>
      </w:hyperlink>
      <w:r w:rsidRPr="00EC6EDA">
        <w:rPr>
          <w:rFonts w:ascii="Times New Roman" w:hAnsi="Times New Roman" w:cs="Times New Roman"/>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39C3" w14:textId="77777777" w:rsidR="00C35CD6" w:rsidRDefault="00C35C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D5945" w14:textId="77777777" w:rsidR="00C35CD6" w:rsidRDefault="00C35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8655C" w14:textId="77777777" w:rsidR="00C35CD6" w:rsidRDefault="00C35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93091"/>
    <w:multiLevelType w:val="hybridMultilevel"/>
    <w:tmpl w:val="E3ACF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047F96"/>
    <w:multiLevelType w:val="hybridMultilevel"/>
    <w:tmpl w:val="C27ED05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 w15:restartNumberingAfterBreak="0">
    <w:nsid w:val="253B75A9"/>
    <w:multiLevelType w:val="multilevel"/>
    <w:tmpl w:val="BEC293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D681D0E"/>
    <w:multiLevelType w:val="hybridMultilevel"/>
    <w:tmpl w:val="CAC20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D36835"/>
    <w:multiLevelType w:val="hybridMultilevel"/>
    <w:tmpl w:val="FEBCFE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A122383"/>
    <w:multiLevelType w:val="hybridMultilevel"/>
    <w:tmpl w:val="ED847712"/>
    <w:lvl w:ilvl="0" w:tplc="E91C84CC">
      <w:start w:val="2"/>
      <w:numFmt w:val="bullet"/>
      <w:lvlText w:val="-"/>
      <w:lvlJc w:val="left"/>
      <w:pPr>
        <w:ind w:left="1440" w:hanging="360"/>
      </w:pPr>
      <w:rPr>
        <w:rFonts w:ascii="Calibri" w:eastAsiaTheme="minorHAnsi" w:hAnsi="Calibri" w:cs="Calibri" w:hint="default"/>
      </w:rPr>
    </w:lvl>
    <w:lvl w:ilvl="1" w:tplc="041A0003">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num w:numId="1" w16cid:durableId="868489514">
    <w:abstractNumId w:val="2"/>
  </w:num>
  <w:num w:numId="2" w16cid:durableId="244458251">
    <w:abstractNumId w:val="1"/>
  </w:num>
  <w:num w:numId="3" w16cid:durableId="379788873">
    <w:abstractNumId w:val="5"/>
  </w:num>
  <w:num w:numId="4" w16cid:durableId="390621967">
    <w:abstractNumId w:val="4"/>
  </w:num>
  <w:num w:numId="5" w16cid:durableId="1044140473">
    <w:abstractNumId w:val="3"/>
  </w:num>
  <w:num w:numId="6" w16cid:durableId="2037465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CD6"/>
    <w:rsid w:val="0014554E"/>
    <w:rsid w:val="00282578"/>
    <w:rsid w:val="002B1EF0"/>
    <w:rsid w:val="00742D58"/>
    <w:rsid w:val="00836323"/>
    <w:rsid w:val="00846B73"/>
    <w:rsid w:val="00C35CD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40E8C2B"/>
  <w15:chartTrackingRefBased/>
  <w15:docId w15:val="{EEDCD778-40FB-4411-AFC7-518857B5E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CD6"/>
    <w:pPr>
      <w:spacing w:after="200" w:line="276" w:lineRule="auto"/>
    </w:pPr>
    <w:rPr>
      <w:rFonts w:eastAsiaTheme="minorEastAsia"/>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C35CD6"/>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C35CD6"/>
    <w:rPr>
      <w:rFonts w:eastAsiaTheme="minorEastAsia"/>
      <w:kern w:val="0"/>
      <w:sz w:val="20"/>
      <w:szCs w:val="20"/>
      <w14:ligatures w14:val="none"/>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C35CD6"/>
    <w:rPr>
      <w:vertAlign w:val="superscript"/>
    </w:rPr>
  </w:style>
  <w:style w:type="paragraph" w:customStyle="1" w:styleId="Char2">
    <w:name w:val="Char2"/>
    <w:basedOn w:val="Normal"/>
    <w:link w:val="FootnoteReference"/>
    <w:uiPriority w:val="99"/>
    <w:rsid w:val="00C35CD6"/>
    <w:pPr>
      <w:spacing w:after="160" w:line="240" w:lineRule="exact"/>
    </w:pPr>
    <w:rPr>
      <w:rFonts w:eastAsiaTheme="minorHAnsi"/>
      <w:kern w:val="2"/>
      <w:vertAlign w:val="superscript"/>
      <w14:ligatures w14:val="standardContextual"/>
    </w:rPr>
  </w:style>
  <w:style w:type="paragraph" w:styleId="ListParagraph">
    <w:name w:val="List Paragraph"/>
    <w:aliases w:val="List Paragraph (numbered (a)),Normal List,Endnote,Indent,Paragraph,Citation List,Normal bullet 2,Resume Title,Paragraphe de liste PBLH,Bullet list,List Paragraph Char Char,b1,Number_1,SGLText List Paragraph,new,lp1,Normal Sentence,Tocka,2"/>
    <w:basedOn w:val="Normal"/>
    <w:link w:val="ListParagraphChar"/>
    <w:uiPriority w:val="1"/>
    <w:qFormat/>
    <w:rsid w:val="00C35CD6"/>
    <w:pPr>
      <w:ind w:left="720"/>
      <w:contextualSpacing/>
    </w:pPr>
  </w:style>
  <w:style w:type="character" w:customStyle="1" w:styleId="ListParagraphChar">
    <w:name w:val="List Paragraph Char"/>
    <w:aliases w:val="List Paragraph (numbered (a)) Char,Normal List Char,Endnote Char,Indent Char,Paragraph Char,Citation List Char,Normal bullet 2 Char,Resume Title Char,Paragraphe de liste PBLH Char,Bullet list Char,List Paragraph Char Char Char,2 Char"/>
    <w:link w:val="ListParagraph"/>
    <w:uiPriority w:val="1"/>
    <w:qFormat/>
    <w:locked/>
    <w:rsid w:val="00C35CD6"/>
    <w:rPr>
      <w:rFonts w:eastAsiaTheme="minorEastAsia"/>
      <w:kern w:val="0"/>
      <w14:ligatures w14:val="none"/>
    </w:rPr>
  </w:style>
  <w:style w:type="character" w:styleId="Hyperlink">
    <w:name w:val="Hyperlink"/>
    <w:basedOn w:val="DefaultParagraphFont"/>
    <w:uiPriority w:val="99"/>
    <w:unhideWhenUsed/>
    <w:rsid w:val="00C35CD6"/>
    <w:rPr>
      <w:color w:val="0563C1" w:themeColor="hyperlink"/>
      <w:u w:val="single"/>
    </w:rPr>
  </w:style>
  <w:style w:type="table" w:customStyle="1" w:styleId="TableGrid1">
    <w:name w:val="Table Grid1"/>
    <w:basedOn w:val="TableNormal"/>
    <w:next w:val="TableGrid"/>
    <w:uiPriority w:val="39"/>
    <w:rsid w:val="00C35CD6"/>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35C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5C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C35CD6"/>
    <w:rPr>
      <w:rFonts w:eastAsiaTheme="minorEastAsia"/>
      <w:kern w:val="0"/>
      <w14:ligatures w14:val="none"/>
    </w:rPr>
  </w:style>
  <w:style w:type="paragraph" w:styleId="Footer">
    <w:name w:val="footer"/>
    <w:basedOn w:val="Normal"/>
    <w:link w:val="FooterChar"/>
    <w:uiPriority w:val="99"/>
    <w:unhideWhenUsed/>
    <w:rsid w:val="00C35C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C35CD6"/>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meteo.hr/klima.php?section=klima_modeli&amp;param=klima_simulacije&amp;Grad=Zagreb&amp;Scenarij=RCP2&amp;Val=p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s://susproc.jrc.ec.europa.eu/product-bureau/sites/default/files/2023-04/Technical%20Guidance%20adapting%20buildings.pdf" TargetMode="External"/><Relationship Id="rId1" Type="http://schemas.openxmlformats.org/officeDocument/2006/relationships/hyperlink" Target="https://op.europa.eu/en/publication-detail/-/publication/23a24b21-16d0-11ec-b4fe-01aa75ed71a1/languag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1765</Words>
  <Characters>10065</Characters>
  <Application>Microsoft Office Word</Application>
  <DocSecurity>0</DocSecurity>
  <Lines>83</Lines>
  <Paragraphs>23</Paragraphs>
  <ScaleCrop>false</ScaleCrop>
  <Company/>
  <LinksUpToDate>false</LinksUpToDate>
  <CharactersWithSpaces>11807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Benković</dc:creator>
  <cp:keywords/>
  <dc:description/>
  <cp:lastModifiedBy>Vesna Benković</cp:lastModifiedBy>
  <cp:revision>8</cp:revision>
  <dcterms:created xsi:type="dcterms:W3CDTF">2023-12-05T13:38:00Z</dcterms:created>
  <dcterms:modified xsi:type="dcterms:W3CDTF">2023-12-06T13:49:00Z</dcterms:modified>
</cp:coreProperties>
</file>